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17" w:rsidRDefault="00361417" w:rsidP="00361417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943887" cy="771525"/>
            <wp:effectExtent l="0" t="0" r="8890" b="0"/>
            <wp:docPr id="2" name="Immagine 2" descr="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1" cy="7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17" w:rsidRDefault="00361417" w:rsidP="00361417">
      <w:pPr>
        <w:jc w:val="center"/>
        <w:rPr>
          <w:b/>
          <w:sz w:val="32"/>
          <w:szCs w:val="32"/>
        </w:rPr>
      </w:pPr>
    </w:p>
    <w:p w:rsidR="004B2F74" w:rsidRPr="004B2F74" w:rsidRDefault="004B2F74" w:rsidP="004B2F74">
      <w:pPr>
        <w:spacing w:after="0" w:line="240" w:lineRule="auto"/>
        <w:jc w:val="center"/>
        <w:rPr>
          <w:rFonts w:cs="TheMix-Black"/>
          <w:b/>
          <w:sz w:val="28"/>
          <w:szCs w:val="40"/>
        </w:rPr>
      </w:pPr>
      <w:r w:rsidRPr="004B2F74">
        <w:rPr>
          <w:rFonts w:cs="TheMix-Black"/>
          <w:b/>
          <w:sz w:val="28"/>
          <w:szCs w:val="40"/>
        </w:rPr>
        <w:t>CULTURA, IDENTITA’ E INNOVAZIONE</w:t>
      </w:r>
      <w:r>
        <w:rPr>
          <w:rFonts w:cs="TheMix-Black"/>
          <w:b/>
          <w:sz w:val="28"/>
          <w:szCs w:val="40"/>
        </w:rPr>
        <w:t xml:space="preserve"> </w:t>
      </w:r>
      <w:r w:rsidRPr="004B2F74">
        <w:rPr>
          <w:rFonts w:cs="TheMix-Black"/>
          <w:b/>
          <w:sz w:val="28"/>
          <w:szCs w:val="40"/>
        </w:rPr>
        <w:t>LA SFIDA PER IL FUTURO</w:t>
      </w:r>
    </w:p>
    <w:p w:rsidR="00361417" w:rsidRPr="00361417" w:rsidRDefault="00361417" w:rsidP="00361417">
      <w:pPr>
        <w:spacing w:after="0" w:line="240" w:lineRule="auto"/>
        <w:jc w:val="center"/>
        <w:rPr>
          <w:sz w:val="24"/>
          <w:szCs w:val="28"/>
        </w:rPr>
      </w:pPr>
      <w:r w:rsidRPr="00361417">
        <w:rPr>
          <w:rFonts w:cs="TheMix-LightCaps"/>
          <w:sz w:val="24"/>
          <w:szCs w:val="28"/>
        </w:rPr>
        <w:t>1</w:t>
      </w:r>
      <w:r w:rsidR="004B2F74">
        <w:rPr>
          <w:rFonts w:cs="TheMix-LightCaps"/>
          <w:sz w:val="24"/>
          <w:szCs w:val="28"/>
        </w:rPr>
        <w:t>1</w:t>
      </w:r>
      <w:r w:rsidRPr="00361417">
        <w:rPr>
          <w:rFonts w:cs="TheMix-LightCaps"/>
          <w:sz w:val="24"/>
          <w:szCs w:val="28"/>
        </w:rPr>
        <w:t>° RA</w:t>
      </w:r>
      <w:r w:rsidR="004B2F74">
        <w:rPr>
          <w:rFonts w:cs="TheMix-LightCaps"/>
          <w:sz w:val="24"/>
          <w:szCs w:val="28"/>
        </w:rPr>
        <w:t>PPORTO ANNUALE FEDERCULTURE 2015</w:t>
      </w:r>
    </w:p>
    <w:p w:rsidR="00361417" w:rsidRPr="002844BB" w:rsidRDefault="00361417" w:rsidP="00361417">
      <w:pPr>
        <w:spacing w:after="0"/>
        <w:rPr>
          <w:b/>
          <w:sz w:val="24"/>
          <w:szCs w:val="32"/>
        </w:rPr>
      </w:pPr>
    </w:p>
    <w:p w:rsidR="00361417" w:rsidRPr="00361417" w:rsidRDefault="00361417" w:rsidP="00361417">
      <w:pPr>
        <w:spacing w:after="0"/>
        <w:ind w:left="360"/>
        <w:jc w:val="center"/>
        <w:rPr>
          <w:b/>
          <w:sz w:val="32"/>
          <w:szCs w:val="32"/>
        </w:rPr>
      </w:pPr>
      <w:r w:rsidRPr="00361417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361417">
        <w:rPr>
          <w:b/>
          <w:sz w:val="32"/>
          <w:szCs w:val="32"/>
        </w:rPr>
        <w:t>Sintesi dei dati principali -</w:t>
      </w:r>
    </w:p>
    <w:p w:rsidR="00361417" w:rsidRPr="002844BB" w:rsidRDefault="00361417" w:rsidP="00361417">
      <w:pPr>
        <w:spacing w:after="0"/>
        <w:rPr>
          <w:b/>
          <w:sz w:val="24"/>
          <w:szCs w:val="32"/>
        </w:rPr>
      </w:pPr>
    </w:p>
    <w:p w:rsidR="004B2F74" w:rsidRPr="000937DF" w:rsidRDefault="004B2F74" w:rsidP="00885DC0">
      <w:pPr>
        <w:pStyle w:val="Paragrafoelenco"/>
        <w:numPr>
          <w:ilvl w:val="0"/>
          <w:numId w:val="10"/>
        </w:numPr>
        <w:rPr>
          <w:b/>
          <w:sz w:val="28"/>
          <w:szCs w:val="32"/>
        </w:rPr>
      </w:pPr>
      <w:r w:rsidRPr="000937DF">
        <w:rPr>
          <w:b/>
          <w:sz w:val="28"/>
          <w:szCs w:val="32"/>
        </w:rPr>
        <w:t>Domanda</w:t>
      </w:r>
      <w:r>
        <w:rPr>
          <w:b/>
          <w:sz w:val="28"/>
          <w:szCs w:val="32"/>
        </w:rPr>
        <w:t>, p</w:t>
      </w:r>
      <w:r w:rsidRPr="000937DF">
        <w:rPr>
          <w:b/>
          <w:sz w:val="28"/>
          <w:szCs w:val="32"/>
        </w:rPr>
        <w:t>artecipazione</w:t>
      </w:r>
      <w:r>
        <w:rPr>
          <w:b/>
          <w:sz w:val="28"/>
          <w:szCs w:val="32"/>
        </w:rPr>
        <w:t>, consumi culturali</w:t>
      </w:r>
    </w:p>
    <w:p w:rsidR="004B2F74" w:rsidRPr="007E1F40" w:rsidRDefault="00D81374" w:rsidP="004B2F74">
      <w:pPr>
        <w:spacing w:before="240" w:after="120" w:line="276" w:lineRule="auto"/>
        <w:jc w:val="both"/>
        <w:rPr>
          <w:b/>
        </w:rPr>
      </w:pPr>
      <w:r>
        <w:t>Dopo due anni di crisi, l</w:t>
      </w:r>
      <w:r w:rsidR="004B2F74">
        <w:t xml:space="preserve">a spesa delle famiglie italiane per cultura e ricreazione nel </w:t>
      </w:r>
      <w:r w:rsidR="004B2F74" w:rsidRPr="004B2F74">
        <w:rPr>
          <w:b/>
        </w:rPr>
        <w:t>2014</w:t>
      </w:r>
      <w:r w:rsidR="004B2F74">
        <w:t xml:space="preserve"> </w:t>
      </w:r>
      <w:r>
        <w:t xml:space="preserve">torna a crescere: </w:t>
      </w:r>
      <w:r w:rsidR="004B2F74">
        <w:t>è stata</w:t>
      </w:r>
      <w:r>
        <w:t>, infatti,</w:t>
      </w:r>
      <w:r w:rsidR="004B2F74">
        <w:t xml:space="preserve"> pari a </w:t>
      </w:r>
      <w:r w:rsidR="004B2F74" w:rsidRPr="00296335">
        <w:rPr>
          <w:b/>
        </w:rPr>
        <w:t>66,1 miliardi di euro</w:t>
      </w:r>
      <w:r w:rsidR="004B2F74">
        <w:t xml:space="preserve">, circa </w:t>
      </w:r>
      <w:r w:rsidR="004B2F74" w:rsidRPr="00296335">
        <w:rPr>
          <w:b/>
        </w:rPr>
        <w:t>1,4 miliardi in più rispetto al 2013</w:t>
      </w:r>
      <w:r w:rsidR="004B2F74">
        <w:t xml:space="preserve"> (</w:t>
      </w:r>
      <w:r w:rsidR="004B2F74" w:rsidRPr="00296335">
        <w:rPr>
          <w:b/>
        </w:rPr>
        <w:t>+2</w:t>
      </w:r>
      <w:r w:rsidR="00260724">
        <w:rPr>
          <w:b/>
        </w:rPr>
        <w:t>,1</w:t>
      </w:r>
      <w:r w:rsidR="004B2F74" w:rsidRPr="00296335">
        <w:rPr>
          <w:b/>
        </w:rPr>
        <w:t>%</w:t>
      </w:r>
      <w:r w:rsidR="004B2F74">
        <w:t>) quando si era registrato un calo del 5% sul 2012 e del 10% sul 2011.</w:t>
      </w:r>
    </w:p>
    <w:tbl>
      <w:tblPr>
        <w:tblW w:w="527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49"/>
        <w:gridCol w:w="687"/>
        <w:gridCol w:w="689"/>
        <w:gridCol w:w="689"/>
        <w:gridCol w:w="689"/>
        <w:gridCol w:w="689"/>
        <w:gridCol w:w="689"/>
        <w:gridCol w:w="851"/>
        <w:gridCol w:w="817"/>
        <w:gridCol w:w="721"/>
        <w:gridCol w:w="855"/>
        <w:gridCol w:w="962"/>
      </w:tblGrid>
      <w:tr w:rsidR="00296335" w:rsidRPr="00296335" w:rsidTr="0029633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20"/>
                <w:szCs w:val="16"/>
                <w:lang w:eastAsia="it-IT"/>
              </w:rPr>
              <w:t xml:space="preserve">Spesa delle famiglie italiane - Valori a prezzi correnti </w:t>
            </w:r>
            <w:r w:rsidRPr="00296335">
              <w:rPr>
                <w:rFonts w:eastAsia="Times New Roman" w:cs="Arial"/>
                <w:i/>
                <w:iCs/>
                <w:sz w:val="20"/>
                <w:szCs w:val="16"/>
                <w:lang w:eastAsia="it-IT"/>
              </w:rPr>
              <w:t>(milioni di euro)</w:t>
            </w:r>
          </w:p>
        </w:tc>
      </w:tr>
      <w:tr w:rsidR="00296335" w:rsidRPr="00296335" w:rsidTr="00296335">
        <w:trPr>
          <w:trHeight w:val="63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Var</w:t>
            </w:r>
            <w:proofErr w:type="spellEnd"/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 2014/2013</w:t>
            </w:r>
          </w:p>
        </w:tc>
      </w:tr>
      <w:tr w:rsidR="00296335" w:rsidRPr="00296335" w:rsidTr="00296335">
        <w:trPr>
          <w:trHeight w:val="9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  <w:t>TOTALE SPESA IN RICREAZIONE E CULTURA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62.452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61.664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64.625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67.357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67.023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67.025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70.589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72.127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68.429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64.788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66.123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="00260724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,1</w:t>
            </w:r>
            <w:r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%</w:t>
            </w:r>
          </w:p>
        </w:tc>
      </w:tr>
      <w:tr w:rsidR="00296335" w:rsidRPr="00296335" w:rsidTr="00296335">
        <w:trPr>
          <w:trHeight w:val="78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  <w:t>TOTALE SPESA FAMIGLIE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865.283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893.147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930.110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961.504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979.699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958.715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984.224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1.014.176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1.002.367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986.252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991.572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60724" w:rsidP="0029633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0,5</w:t>
            </w:r>
            <w:r w:rsidR="00296335" w:rsidRPr="00296335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%</w:t>
            </w:r>
          </w:p>
        </w:tc>
      </w:tr>
      <w:tr w:rsidR="00296335" w:rsidRPr="00296335" w:rsidTr="00296335">
        <w:trPr>
          <w:gridAfter w:val="1"/>
          <w:wAfter w:w="459" w:type="pct"/>
          <w:trHeight w:val="1046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INCIDENZA DELLA SPESA IN CULTURA E </w:t>
            </w:r>
            <w:proofErr w:type="gramStart"/>
            <w:r w:rsidRPr="00296335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  <w:t>RICREAZIONE  SULLA</w:t>
            </w:r>
            <w:proofErr w:type="gramEnd"/>
            <w:r w:rsidRPr="00296335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SPESA TOTALE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7,2%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7,2%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7,1%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6,8%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6,6%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35" w:rsidRPr="00296335" w:rsidRDefault="00296335" w:rsidP="0029633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296335">
              <w:rPr>
                <w:rFonts w:eastAsia="Times New Roman" w:cs="Arial"/>
                <w:sz w:val="16"/>
                <w:szCs w:val="16"/>
                <w:lang w:eastAsia="it-IT"/>
              </w:rPr>
              <w:t>6,7%</w:t>
            </w:r>
          </w:p>
        </w:tc>
      </w:tr>
    </w:tbl>
    <w:p w:rsidR="004B2F74" w:rsidRDefault="004B2F74" w:rsidP="004B2F74">
      <w:pPr>
        <w:spacing w:after="0" w:line="276" w:lineRule="auto"/>
        <w:ind w:firstLine="284"/>
        <w:rPr>
          <w:sz w:val="18"/>
        </w:rPr>
      </w:pPr>
      <w:r w:rsidRPr="00331C30">
        <w:rPr>
          <w:sz w:val="18"/>
        </w:rPr>
        <w:t xml:space="preserve">Fonte: elaborazioni Federculture su dati </w:t>
      </w:r>
      <w:r>
        <w:rPr>
          <w:sz w:val="18"/>
        </w:rPr>
        <w:t>ISTAT</w:t>
      </w:r>
    </w:p>
    <w:p w:rsidR="002844BB" w:rsidRDefault="00BB037E" w:rsidP="004C5D54">
      <w:pPr>
        <w:spacing w:before="240" w:after="120" w:line="276" w:lineRule="auto"/>
        <w:jc w:val="both"/>
        <w:rPr>
          <w:b/>
        </w:rPr>
      </w:pPr>
      <w:r>
        <w:t xml:space="preserve">Torna a crescere anche se di poco l’incidenza della spesa per cultura e ricreazione sulla spesa complessiva delle famiglie, 6,7%, anche se non si recuperano ancora i valori del 2010-2011, ma è importante notare che </w:t>
      </w:r>
      <w:r w:rsidRPr="00BB037E">
        <w:rPr>
          <w:b/>
        </w:rPr>
        <w:t xml:space="preserve">nell’ultimo anno l’aumento della spesa culturale è praticamente </w:t>
      </w:r>
      <w:r w:rsidR="00260724">
        <w:rPr>
          <w:b/>
        </w:rPr>
        <w:t>quadruplo</w:t>
      </w:r>
      <w:r w:rsidRPr="00BB037E">
        <w:rPr>
          <w:b/>
        </w:rPr>
        <w:t xml:space="preserve"> rispetto a quello della spesa familiare complessiva</w:t>
      </w:r>
      <w:r>
        <w:t xml:space="preserve">: </w:t>
      </w:r>
      <w:r w:rsidRPr="00BB037E">
        <w:rPr>
          <w:b/>
        </w:rPr>
        <w:t>+2%</w:t>
      </w:r>
      <w:r>
        <w:t xml:space="preserve"> contro </w:t>
      </w:r>
      <w:r w:rsidRPr="00BB037E">
        <w:rPr>
          <w:b/>
        </w:rPr>
        <w:t>+</w:t>
      </w:r>
      <w:r w:rsidR="00260724">
        <w:rPr>
          <w:b/>
        </w:rPr>
        <w:t>0,5</w:t>
      </w:r>
      <w:r w:rsidRPr="00BB037E">
        <w:rPr>
          <w:b/>
        </w:rPr>
        <w:t>%.</w:t>
      </w:r>
    </w:p>
    <w:p w:rsidR="002844BB" w:rsidRDefault="002844BB" w:rsidP="002844BB">
      <w:pPr>
        <w:spacing w:before="240" w:after="0" w:line="276" w:lineRule="auto"/>
        <w:jc w:val="center"/>
        <w:rPr>
          <w:b/>
        </w:rPr>
      </w:pPr>
      <w:r w:rsidRPr="002844BB">
        <w:rPr>
          <w:b/>
          <w:sz w:val="20"/>
        </w:rPr>
        <w:t xml:space="preserve">Andamento della spesa delle famiglie italiane per ricreazione e cultura - </w:t>
      </w:r>
      <w:r w:rsidRPr="002844BB">
        <w:rPr>
          <w:sz w:val="20"/>
        </w:rPr>
        <w:t>2004/2014 (milioni di euro)</w:t>
      </w:r>
    </w:p>
    <w:p w:rsidR="002844BB" w:rsidRDefault="002844BB" w:rsidP="002844BB">
      <w:pPr>
        <w:spacing w:after="0" w:line="276" w:lineRule="auto"/>
        <w:jc w:val="center"/>
        <w:rPr>
          <w:b/>
        </w:rPr>
      </w:pPr>
      <w:r w:rsidRPr="002844BB">
        <w:rPr>
          <w:noProof/>
          <w:sz w:val="18"/>
          <w:szCs w:val="18"/>
          <w:lang w:eastAsia="it-IT"/>
        </w:rPr>
        <w:drawing>
          <wp:inline distT="0" distB="0" distL="0" distR="0" wp14:anchorId="3F24096E" wp14:editId="648AA750">
            <wp:extent cx="4381500" cy="1971675"/>
            <wp:effectExtent l="0" t="0" r="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44BB" w:rsidRDefault="002844BB">
      <w:pPr>
        <w:rPr>
          <w:b/>
        </w:rPr>
      </w:pPr>
      <w:r>
        <w:rPr>
          <w:b/>
        </w:rPr>
        <w:br w:type="page"/>
      </w:r>
    </w:p>
    <w:p w:rsidR="004C5D54" w:rsidRDefault="004C5D54" w:rsidP="004C5D54">
      <w:pPr>
        <w:spacing w:before="240" w:after="120" w:line="276" w:lineRule="auto"/>
        <w:jc w:val="both"/>
      </w:pPr>
      <w:r w:rsidRPr="004C5D54">
        <w:rPr>
          <w:b/>
        </w:rPr>
        <w:lastRenderedPageBreak/>
        <w:t>Nel 2014 è in crescita anche la</w:t>
      </w:r>
      <w:r>
        <w:t xml:space="preserve"> </w:t>
      </w:r>
      <w:r w:rsidRPr="004C5D54">
        <w:rPr>
          <w:b/>
        </w:rPr>
        <w:t>fruizione</w:t>
      </w:r>
      <w:r>
        <w:t xml:space="preserve">. In tutti i settori si evidenzia un rinnovato interesse degli italiani per le attività culturali: la partecipazione aumenta nel </w:t>
      </w:r>
      <w:r w:rsidRPr="004C5D54">
        <w:rPr>
          <w:b/>
        </w:rPr>
        <w:t>teatro</w:t>
      </w:r>
      <w:r>
        <w:t xml:space="preserve"> (</w:t>
      </w:r>
      <w:r w:rsidRPr="004C5D54">
        <w:rPr>
          <w:b/>
        </w:rPr>
        <w:t>2,2%</w:t>
      </w:r>
      <w:r>
        <w:t xml:space="preserve">), nel </w:t>
      </w:r>
      <w:r w:rsidRPr="004C5D54">
        <w:rPr>
          <w:b/>
        </w:rPr>
        <w:t>cinema</w:t>
      </w:r>
      <w:r>
        <w:t xml:space="preserve"> (</w:t>
      </w:r>
      <w:r w:rsidRPr="004C5D54">
        <w:rPr>
          <w:b/>
        </w:rPr>
        <w:t>1,7%</w:t>
      </w:r>
      <w:r>
        <w:t xml:space="preserve">), crescono </w:t>
      </w:r>
      <w:r w:rsidR="00D81374">
        <w:t>i cittadini</w:t>
      </w:r>
      <w:r>
        <w:t xml:space="preserve"> che visitano </w:t>
      </w:r>
      <w:r w:rsidRPr="004C5D54">
        <w:rPr>
          <w:b/>
        </w:rPr>
        <w:t>musei e mostre</w:t>
      </w:r>
      <w:r>
        <w:t xml:space="preserve"> (</w:t>
      </w:r>
      <w:r w:rsidRPr="004C5D54">
        <w:rPr>
          <w:b/>
        </w:rPr>
        <w:t>7,7%</w:t>
      </w:r>
      <w:r>
        <w:t xml:space="preserve">) e coloro che assistono a </w:t>
      </w:r>
      <w:r w:rsidRPr="004C5D54">
        <w:rPr>
          <w:b/>
        </w:rPr>
        <w:t>concerti</w:t>
      </w:r>
      <w:r>
        <w:t xml:space="preserve"> (</w:t>
      </w:r>
      <w:r w:rsidRPr="004C5D54">
        <w:rPr>
          <w:b/>
        </w:rPr>
        <w:t>2,2%</w:t>
      </w:r>
      <w:r>
        <w:t>).</w:t>
      </w:r>
    </w:p>
    <w:p w:rsidR="004B2F74" w:rsidRPr="005D04FA" w:rsidRDefault="004B2F74" w:rsidP="00BB037E">
      <w:pPr>
        <w:spacing w:before="240" w:after="120" w:line="276" w:lineRule="auto"/>
        <w:jc w:val="center"/>
        <w:rPr>
          <w:sz w:val="20"/>
          <w:szCs w:val="20"/>
        </w:rPr>
      </w:pPr>
      <w:r w:rsidRPr="005D04FA">
        <w:rPr>
          <w:b/>
          <w:sz w:val="20"/>
          <w:szCs w:val="20"/>
        </w:rPr>
        <w:t>Fruizione di intrattenimenti culturali e ricreativi in Italia</w:t>
      </w:r>
      <w:r w:rsidRPr="005D04FA">
        <w:rPr>
          <w:sz w:val="20"/>
          <w:szCs w:val="20"/>
        </w:rPr>
        <w:t xml:space="preserve"> - </w:t>
      </w:r>
      <w:proofErr w:type="spellStart"/>
      <w:r w:rsidRPr="005D04FA">
        <w:rPr>
          <w:sz w:val="20"/>
          <w:szCs w:val="20"/>
        </w:rPr>
        <w:t>Var</w:t>
      </w:r>
      <w:proofErr w:type="spellEnd"/>
      <w:r w:rsidRPr="005D04FA">
        <w:rPr>
          <w:sz w:val="20"/>
          <w:szCs w:val="20"/>
        </w:rPr>
        <w:t>. 201</w:t>
      </w:r>
      <w:r w:rsidR="004C5D54">
        <w:rPr>
          <w:sz w:val="20"/>
          <w:szCs w:val="20"/>
        </w:rPr>
        <w:t>4/2013</w:t>
      </w:r>
    </w:p>
    <w:p w:rsidR="004B2F74" w:rsidRDefault="004C5D54" w:rsidP="004B2F74">
      <w:pPr>
        <w:spacing w:after="0" w:line="276" w:lineRule="auto"/>
        <w:ind w:left="68"/>
        <w:jc w:val="both"/>
      </w:pPr>
      <w:r w:rsidRPr="004C5D54">
        <w:rPr>
          <w:noProof/>
          <w:shd w:val="clear" w:color="auto" w:fill="FFF2CC" w:themeFill="accent4" w:themeFillTint="33"/>
          <w:lang w:eastAsia="it-IT"/>
        </w:rPr>
        <w:drawing>
          <wp:inline distT="0" distB="0" distL="0" distR="0" wp14:anchorId="52C9BC71" wp14:editId="1F7D7BED">
            <wp:extent cx="6336030" cy="2069465"/>
            <wp:effectExtent l="0" t="0" r="7620" b="698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2F74" w:rsidRPr="005D04FA" w:rsidRDefault="004B2F74" w:rsidP="004B2F74">
      <w:pPr>
        <w:spacing w:after="0" w:line="276" w:lineRule="auto"/>
        <w:rPr>
          <w:sz w:val="18"/>
          <w:szCs w:val="18"/>
        </w:rPr>
      </w:pPr>
      <w:r w:rsidRPr="005D04FA">
        <w:rPr>
          <w:sz w:val="18"/>
          <w:szCs w:val="18"/>
        </w:rPr>
        <w:t>Fonte: elaborazioni Federculture su dati ISTAT</w:t>
      </w:r>
    </w:p>
    <w:p w:rsidR="004B2F74" w:rsidRPr="005D04FA" w:rsidRDefault="004B2F74" w:rsidP="004B2F74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it-IT"/>
        </w:rPr>
      </w:pPr>
      <w:r w:rsidRPr="005D04FA">
        <w:rPr>
          <w:rFonts w:eastAsia="Times New Roman" w:cs="Arial"/>
          <w:color w:val="000000"/>
          <w:sz w:val="16"/>
          <w:szCs w:val="16"/>
          <w:lang w:eastAsia="it-IT"/>
        </w:rPr>
        <w:t>Indagini Multiscopo, persone di 6 anni e più per fruizione di vari tipi di spettacolo e/o intrattenimento fuori casa almeno una volta l'anno</w:t>
      </w:r>
    </w:p>
    <w:p w:rsidR="00BB037E" w:rsidRDefault="00BB037E" w:rsidP="004C5D54">
      <w:pPr>
        <w:spacing w:after="0" w:line="276" w:lineRule="auto"/>
        <w:jc w:val="both"/>
      </w:pPr>
    </w:p>
    <w:p w:rsidR="00BB037E" w:rsidRDefault="00BB037E" w:rsidP="004C5D54">
      <w:pPr>
        <w:spacing w:after="0" w:line="276" w:lineRule="auto"/>
        <w:jc w:val="both"/>
      </w:pPr>
    </w:p>
    <w:p w:rsidR="00D81374" w:rsidRDefault="00D81374" w:rsidP="004C5D54">
      <w:pPr>
        <w:spacing w:after="0" w:line="276" w:lineRule="auto"/>
        <w:jc w:val="both"/>
      </w:pPr>
      <w:r>
        <w:t xml:space="preserve">Come registrato per la spesa delle famiglie, anche in questo caso si tratta di un’inversione di tendenza dopo che nel 2012 e 2013 i valori erano stati in forte calo </w:t>
      </w:r>
      <w:r w:rsidRPr="00D81374">
        <w:t>(</w:t>
      </w:r>
      <w:r w:rsidR="00344719">
        <w:t xml:space="preserve">es: </w:t>
      </w:r>
      <w:r w:rsidRPr="00D81374">
        <w:t xml:space="preserve">teatro -15,5%, mostre -12,8%, concerti -14,4% </w:t>
      </w:r>
      <w:r w:rsidR="00344719">
        <w:t xml:space="preserve">nel </w:t>
      </w:r>
      <w:r w:rsidRPr="00D81374">
        <w:t>biennio 2011-2013</w:t>
      </w:r>
      <w:r>
        <w:t>).</w:t>
      </w:r>
    </w:p>
    <w:p w:rsidR="004C5D54" w:rsidRDefault="00344719" w:rsidP="00D81374">
      <w:pPr>
        <w:spacing w:before="120" w:after="0" w:line="276" w:lineRule="auto"/>
        <w:jc w:val="both"/>
      </w:pPr>
      <w:r>
        <w:t>Di segno opposto</w:t>
      </w:r>
      <w:r w:rsidR="004C5D54">
        <w:t xml:space="preserve"> è il dato sulla </w:t>
      </w:r>
      <w:r w:rsidR="004C5D54" w:rsidRPr="004C5D54">
        <w:rPr>
          <w:b/>
        </w:rPr>
        <w:t>lettura</w:t>
      </w:r>
      <w:r w:rsidR="004C5D54">
        <w:t xml:space="preserve">: </w:t>
      </w:r>
      <w:r w:rsidR="004C5D54" w:rsidRPr="004C5D54">
        <w:rPr>
          <w:b/>
        </w:rPr>
        <w:t xml:space="preserve">nel 2014 </w:t>
      </w:r>
      <w:r w:rsidR="001A7D2D">
        <w:rPr>
          <w:b/>
        </w:rPr>
        <w:t>diminuisce ancora la quota di italiani che leggono almeno un libro l’anno</w:t>
      </w:r>
      <w:r>
        <w:t xml:space="preserve">, </w:t>
      </w:r>
      <w:r w:rsidR="001A7D2D">
        <w:t xml:space="preserve">scesa a al </w:t>
      </w:r>
      <w:r w:rsidR="001A7D2D" w:rsidRPr="001A7D2D">
        <w:rPr>
          <w:b/>
        </w:rPr>
        <w:t>41,4%</w:t>
      </w:r>
      <w:r w:rsidR="001A7D2D">
        <w:rPr>
          <w:b/>
        </w:rPr>
        <w:t>,</w:t>
      </w:r>
      <w:r w:rsidR="001A7D2D">
        <w:t xml:space="preserve"> </w:t>
      </w:r>
      <w:r>
        <w:t>vale a dire che si registra</w:t>
      </w:r>
      <w:r w:rsidR="00FB54B5">
        <w:t xml:space="preserve"> quasi</w:t>
      </w:r>
      <w:r>
        <w:t xml:space="preserve"> </w:t>
      </w:r>
      <w:r w:rsidRPr="00344719">
        <w:rPr>
          <w:b/>
        </w:rPr>
        <w:t>il 4% di lettori in meno</w:t>
      </w:r>
      <w:r>
        <w:t>.</w:t>
      </w:r>
    </w:p>
    <w:p w:rsidR="004C5D54" w:rsidRPr="008445C1" w:rsidRDefault="008445C1" w:rsidP="003A586E">
      <w:pPr>
        <w:spacing w:before="240" w:after="0" w:line="240" w:lineRule="auto"/>
        <w:jc w:val="center"/>
        <w:rPr>
          <w:sz w:val="18"/>
          <w:highlight w:val="yellow"/>
        </w:rPr>
      </w:pPr>
      <w:r w:rsidRPr="008445C1">
        <w:rPr>
          <w:b/>
          <w:sz w:val="18"/>
        </w:rPr>
        <w:t>Persone di 6 anni e più che hanno letto almeno un libro negli ultimi 12 mesi</w:t>
      </w:r>
      <w:r w:rsidRPr="008445C1">
        <w:rPr>
          <w:sz w:val="18"/>
        </w:rPr>
        <w:t xml:space="preserve"> - valori percentuali </w:t>
      </w:r>
      <w:r>
        <w:rPr>
          <w:sz w:val="18"/>
        </w:rPr>
        <w:br/>
      </w:r>
      <w:r w:rsidRPr="008445C1">
        <w:rPr>
          <w:sz w:val="18"/>
        </w:rPr>
        <w:t>(per 100 persone con le stesse caratteristiche)</w:t>
      </w: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80"/>
        <w:gridCol w:w="1180"/>
        <w:gridCol w:w="1180"/>
      </w:tblGrid>
      <w:tr w:rsidR="004C5D54" w:rsidRPr="004C5D54" w:rsidTr="008445C1">
        <w:trPr>
          <w:trHeight w:val="285"/>
          <w:jc w:val="center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2013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2014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Var</w:t>
            </w:r>
            <w:proofErr w:type="spellEnd"/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 2014/2013</w:t>
            </w:r>
          </w:p>
        </w:tc>
      </w:tr>
      <w:tr w:rsidR="004C5D54" w:rsidRPr="004C5D54" w:rsidTr="003A586E">
        <w:trPr>
          <w:trHeight w:val="70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C5D54" w:rsidRPr="004C5D54" w:rsidRDefault="004C5D54" w:rsidP="004C5D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FB54B5" w:rsidRPr="004C5D54" w:rsidTr="00BB037E">
        <w:trPr>
          <w:trHeight w:val="283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50,1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48,1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4B5" w:rsidRPr="00B343DB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B343D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-4,0%</w:t>
            </w:r>
          </w:p>
        </w:tc>
      </w:tr>
      <w:tr w:rsidR="00FB54B5" w:rsidRPr="004C5D54" w:rsidTr="00BB037E">
        <w:trPr>
          <w:trHeight w:val="283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51,3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49,0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4B5" w:rsidRPr="00B343DB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B343D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-4,5%</w:t>
            </w:r>
          </w:p>
        </w:tc>
      </w:tr>
      <w:tr w:rsidR="00FB54B5" w:rsidRPr="004C5D54" w:rsidTr="00BB037E">
        <w:trPr>
          <w:trHeight w:val="283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46,8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44,9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4B5" w:rsidRPr="00B343DB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B343D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-4,1%</w:t>
            </w:r>
          </w:p>
        </w:tc>
      </w:tr>
      <w:tr w:rsidR="00FB54B5" w:rsidRPr="004C5D54" w:rsidTr="00B72ED9">
        <w:trPr>
          <w:trHeight w:val="283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32,0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31,1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54B5" w:rsidRPr="00B343DB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B343D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-2,8%</w:t>
            </w:r>
          </w:p>
        </w:tc>
      </w:tr>
      <w:tr w:rsidR="00FB54B5" w:rsidRPr="004C5D54" w:rsidTr="00B72ED9">
        <w:trPr>
          <w:trHeight w:val="283"/>
          <w:jc w:val="center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43,0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4B5" w:rsidRPr="004C5D54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C5D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41,4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4B5" w:rsidRPr="00B343DB" w:rsidRDefault="00FB54B5" w:rsidP="00FB54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B343DB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-3,7</w:t>
            </w:r>
            <w:r w:rsidRPr="00B343D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%</w:t>
            </w:r>
          </w:p>
        </w:tc>
      </w:tr>
    </w:tbl>
    <w:p w:rsidR="008445C1" w:rsidRPr="005D04FA" w:rsidRDefault="008445C1" w:rsidP="008445C1">
      <w:pPr>
        <w:spacing w:after="0" w:line="276" w:lineRule="auto"/>
        <w:jc w:val="center"/>
        <w:rPr>
          <w:sz w:val="18"/>
          <w:szCs w:val="18"/>
        </w:rPr>
      </w:pPr>
      <w:r w:rsidRPr="005D04FA">
        <w:rPr>
          <w:sz w:val="18"/>
          <w:szCs w:val="18"/>
        </w:rPr>
        <w:t>Fonte: elaborazioni Federculture su dati ISTAT</w:t>
      </w:r>
    </w:p>
    <w:p w:rsidR="004C5D54" w:rsidRDefault="004C5D54" w:rsidP="003A586E">
      <w:pPr>
        <w:spacing w:after="0" w:line="240" w:lineRule="auto"/>
        <w:jc w:val="both"/>
        <w:rPr>
          <w:highlight w:val="yellow"/>
        </w:rPr>
      </w:pPr>
    </w:p>
    <w:p w:rsidR="00BB037E" w:rsidRDefault="00BB037E" w:rsidP="003A586E">
      <w:pPr>
        <w:spacing w:after="0" w:line="240" w:lineRule="auto"/>
        <w:jc w:val="both"/>
        <w:rPr>
          <w:highlight w:val="yellow"/>
        </w:rPr>
      </w:pPr>
    </w:p>
    <w:p w:rsidR="00BB037E" w:rsidRDefault="00BB037E" w:rsidP="003A586E">
      <w:pPr>
        <w:spacing w:after="0" w:line="240" w:lineRule="auto"/>
        <w:jc w:val="both"/>
        <w:rPr>
          <w:highlight w:val="yellow"/>
        </w:rPr>
      </w:pPr>
    </w:p>
    <w:p w:rsidR="00BB037E" w:rsidRPr="000937DF" w:rsidRDefault="0057365C" w:rsidP="00BB037E">
      <w:pPr>
        <w:pStyle w:val="Paragrafoelenco"/>
        <w:numPr>
          <w:ilvl w:val="0"/>
          <w:numId w:val="10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t>Spesa e partecipazione culturale</w:t>
      </w:r>
      <w:r w:rsidR="00BB037E">
        <w:rPr>
          <w:b/>
          <w:sz w:val="28"/>
          <w:szCs w:val="32"/>
        </w:rPr>
        <w:t xml:space="preserve">: le </w:t>
      </w:r>
      <w:r>
        <w:rPr>
          <w:b/>
          <w:sz w:val="28"/>
          <w:szCs w:val="32"/>
        </w:rPr>
        <w:t>differenze territoriali</w:t>
      </w:r>
    </w:p>
    <w:p w:rsidR="001E6291" w:rsidRPr="001E6291" w:rsidRDefault="001E6291" w:rsidP="00B72ED9">
      <w:pPr>
        <w:spacing w:before="120" w:after="0" w:line="276" w:lineRule="auto"/>
        <w:jc w:val="both"/>
      </w:pPr>
      <w:r w:rsidRPr="001E6291">
        <w:t xml:space="preserve">Sia sul fronte della spesa che su quello della fruizione sono molto evidenti le </w:t>
      </w:r>
      <w:r w:rsidRPr="00572ADC">
        <w:rPr>
          <w:b/>
        </w:rPr>
        <w:t xml:space="preserve">differenze territoriali </w:t>
      </w:r>
      <w:r w:rsidRPr="00572ADC">
        <w:t>sia per Regione</w:t>
      </w:r>
      <w:r w:rsidRPr="001E6291">
        <w:t xml:space="preserve"> che per macro-area regionale.</w:t>
      </w:r>
    </w:p>
    <w:p w:rsidR="002844BB" w:rsidRDefault="001E6291" w:rsidP="00BB037E">
      <w:pPr>
        <w:shd w:val="clear" w:color="auto" w:fill="FFF2CC" w:themeFill="accent4" w:themeFillTint="33"/>
        <w:spacing w:before="120" w:after="0" w:line="276" w:lineRule="auto"/>
        <w:jc w:val="both"/>
      </w:pPr>
      <w:r w:rsidRPr="001E6291">
        <w:t>Per quanto r</w:t>
      </w:r>
      <w:r>
        <w:t>i</w:t>
      </w:r>
      <w:r w:rsidRPr="001E6291">
        <w:t xml:space="preserve">guarda la spesa </w:t>
      </w:r>
      <w:r w:rsidR="000811F4">
        <w:t xml:space="preserve">emerge una </w:t>
      </w:r>
      <w:r w:rsidR="00BF14CA">
        <w:t xml:space="preserve">distanza molto ampia fra Nord e Sud del Paese laddove se la Regione nella quale si spende di più in cultura è il </w:t>
      </w:r>
      <w:r w:rsidR="00BF14CA" w:rsidRPr="00BF14CA">
        <w:rPr>
          <w:b/>
        </w:rPr>
        <w:t>Trentino Alto Adige con 165 euro di spesa familiare media mensile</w:t>
      </w:r>
      <w:r w:rsidR="00BF14CA">
        <w:t>,</w:t>
      </w:r>
      <w:r w:rsidR="002844BB">
        <w:t xml:space="preserve"> </w:t>
      </w:r>
      <w:r w:rsidR="002844BB" w:rsidRPr="002844BB">
        <w:rPr>
          <w:b/>
        </w:rPr>
        <w:t>circa 1.900 euro l’anno</w:t>
      </w:r>
      <w:r w:rsidR="002844BB">
        <w:t xml:space="preserve">, </w:t>
      </w:r>
      <w:r w:rsidR="00BF14CA">
        <w:t xml:space="preserve">quella dove si spende di meno è la </w:t>
      </w:r>
      <w:r w:rsidR="00BF14CA" w:rsidRPr="00BF14CA">
        <w:rPr>
          <w:b/>
        </w:rPr>
        <w:t>Sicilia</w:t>
      </w:r>
      <w:r w:rsidR="00BF14CA">
        <w:t xml:space="preserve"> dove </w:t>
      </w:r>
      <w:r w:rsidR="00572ADC">
        <w:t>gli euro destinati alla cultura sono</w:t>
      </w:r>
      <w:r w:rsidR="00BF14CA">
        <w:t xml:space="preserve"> appena </w:t>
      </w:r>
      <w:r w:rsidR="00BF14CA" w:rsidRPr="00BF14CA">
        <w:rPr>
          <w:b/>
        </w:rPr>
        <w:t>35,7</w:t>
      </w:r>
      <w:r w:rsidR="002844BB">
        <w:rPr>
          <w:b/>
        </w:rPr>
        <w:t>, vale a dire 450 euro l’anno</w:t>
      </w:r>
      <w:r w:rsidR="0057365C">
        <w:rPr>
          <w:b/>
        </w:rPr>
        <w:t>,</w:t>
      </w:r>
      <w:r w:rsidR="002844BB">
        <w:rPr>
          <w:b/>
        </w:rPr>
        <w:t xml:space="preserve"> </w:t>
      </w:r>
      <w:r w:rsidR="002844BB" w:rsidRPr="002844BB">
        <w:t xml:space="preserve">ossia </w:t>
      </w:r>
      <w:r w:rsidR="002844BB">
        <w:t xml:space="preserve">appena il </w:t>
      </w:r>
      <w:r w:rsidR="002844BB" w:rsidRPr="002844BB">
        <w:rPr>
          <w:b/>
        </w:rPr>
        <w:t>22%</w:t>
      </w:r>
      <w:r w:rsidR="002844BB">
        <w:t xml:space="preserve"> di quanto spende una famiglia trentina</w:t>
      </w:r>
      <w:r w:rsidR="0057365C">
        <w:t xml:space="preserve"> e i</w:t>
      </w:r>
      <w:r w:rsidR="0057365C" w:rsidRPr="0057365C">
        <w:rPr>
          <w:b/>
        </w:rPr>
        <w:t>l 40% della media italiana</w:t>
      </w:r>
      <w:r w:rsidR="0057365C">
        <w:t>.</w:t>
      </w:r>
    </w:p>
    <w:p w:rsidR="002844BB" w:rsidRDefault="002844BB">
      <w:r>
        <w:br w:type="page"/>
      </w:r>
    </w:p>
    <w:tbl>
      <w:tblPr>
        <w:tblW w:w="7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82"/>
        <w:gridCol w:w="1482"/>
        <w:gridCol w:w="1482"/>
      </w:tblGrid>
      <w:tr w:rsidR="000811F4" w:rsidRPr="000811F4" w:rsidTr="000811F4">
        <w:trPr>
          <w:trHeight w:val="300"/>
          <w:jc w:val="center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B72ED9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lastRenderedPageBreak/>
              <w:t xml:space="preserve">Spesa </w:t>
            </w:r>
            <w:r w:rsidRPr="000811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 xml:space="preserve">familiare </w:t>
            </w:r>
            <w:r w:rsidRPr="001E62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media mensile in cultura per Regione</w:t>
            </w:r>
            <w:r w:rsidRPr="000811F4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 - anni </w:t>
            </w:r>
            <w:r w:rsidRPr="000811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2011-</w:t>
            </w:r>
            <w:r w:rsidRPr="001E62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2013</w:t>
            </w:r>
            <w:r w:rsidR="00BF1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*</w:t>
            </w:r>
            <w:r w:rsidRPr="001E62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1E6291"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  <w:lang w:eastAsia="it-IT"/>
              </w:rPr>
              <w:t>(euro)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2011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2013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136,88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165,15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133,36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149,49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124,6</w:t>
            </w:r>
            <w:r w:rsidRPr="00BF14CA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144,14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122,08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133,71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123,53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121,16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137,52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128,08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120,7</w:t>
            </w:r>
            <w:r w:rsidRPr="00BF14CA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112,24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121,66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116,35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Friuli-Venezia Giulia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116,77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110,39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129,11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114,84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109,41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113,09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111,22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106,24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104,44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103,33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88,57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87,61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96,92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81,16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84,23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86,13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90,25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71,61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Abruz</w:t>
            </w:r>
            <w:r w:rsidRPr="00BF14CA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</w:t>
            </w: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101,07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77,11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70,84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53,16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71,32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64,45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68,93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62,97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60,85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63,67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58,21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53,69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76,15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57,56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47,82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69,21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51,58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47,38</w:t>
            </w:r>
          </w:p>
        </w:tc>
      </w:tr>
      <w:tr w:rsidR="000811F4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1F4" w:rsidRPr="001E6291" w:rsidRDefault="000811F4" w:rsidP="001E62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43,54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39,36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1F4" w:rsidRPr="001E6291" w:rsidRDefault="000811F4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35,73</w:t>
            </w:r>
          </w:p>
        </w:tc>
      </w:tr>
      <w:tr w:rsidR="001E6291" w:rsidRPr="001E6291" w:rsidTr="003A586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6291" w:rsidRPr="001E6291" w:rsidRDefault="001E6291" w:rsidP="001E62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291" w:rsidRPr="001E6291" w:rsidRDefault="001E6291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105,39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291" w:rsidRPr="001E6291" w:rsidRDefault="001E6291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291" w:rsidRPr="001E6291" w:rsidRDefault="001E6291" w:rsidP="001E62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1E62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94,08</w:t>
            </w:r>
          </w:p>
        </w:tc>
      </w:tr>
    </w:tbl>
    <w:p w:rsidR="000811F4" w:rsidRDefault="000811F4" w:rsidP="000811F4">
      <w:pPr>
        <w:spacing w:after="0" w:line="276" w:lineRule="auto"/>
        <w:ind w:left="708" w:firstLine="708"/>
        <w:rPr>
          <w:sz w:val="18"/>
          <w:szCs w:val="18"/>
        </w:rPr>
      </w:pPr>
      <w:r w:rsidRPr="005D04FA">
        <w:rPr>
          <w:sz w:val="18"/>
          <w:szCs w:val="18"/>
        </w:rPr>
        <w:t>Fonte: ISTAT</w:t>
      </w:r>
    </w:p>
    <w:p w:rsidR="00BF14CA" w:rsidRPr="00BF14CA" w:rsidRDefault="00BF14CA" w:rsidP="000811F4">
      <w:pPr>
        <w:spacing w:after="0" w:line="276" w:lineRule="auto"/>
        <w:ind w:left="708" w:firstLine="708"/>
        <w:rPr>
          <w:sz w:val="14"/>
          <w:szCs w:val="18"/>
        </w:rPr>
      </w:pPr>
      <w:r>
        <w:rPr>
          <w:sz w:val="18"/>
        </w:rPr>
        <w:t xml:space="preserve">*per il dettaglio regionale i dati </w:t>
      </w:r>
      <w:r w:rsidRPr="00BF14CA">
        <w:rPr>
          <w:sz w:val="18"/>
        </w:rPr>
        <w:t xml:space="preserve">più aggiornati disponibili </w:t>
      </w:r>
      <w:r>
        <w:rPr>
          <w:sz w:val="18"/>
        </w:rPr>
        <w:t>sono riferiti al</w:t>
      </w:r>
      <w:r w:rsidRPr="00BF14CA">
        <w:rPr>
          <w:sz w:val="18"/>
        </w:rPr>
        <w:t xml:space="preserve"> 2013</w:t>
      </w:r>
    </w:p>
    <w:p w:rsidR="00DF4CC8" w:rsidRDefault="00DF4CC8" w:rsidP="00DF4CC8">
      <w:pPr>
        <w:spacing w:before="240" w:after="0" w:line="276" w:lineRule="auto"/>
        <w:jc w:val="both"/>
      </w:pPr>
    </w:p>
    <w:p w:rsidR="001E6291" w:rsidRDefault="00DF4CC8" w:rsidP="00913ACB">
      <w:pPr>
        <w:shd w:val="clear" w:color="auto" w:fill="FFF2CC" w:themeFill="accent4" w:themeFillTint="33"/>
        <w:spacing w:before="240" w:after="0" w:line="276" w:lineRule="auto"/>
        <w:jc w:val="both"/>
      </w:pPr>
      <w:r>
        <w:t xml:space="preserve">Anche a livello macro-regionale le differenze sono nette: nel </w:t>
      </w:r>
      <w:r w:rsidRPr="00572ADC">
        <w:rPr>
          <w:b/>
        </w:rPr>
        <w:t>Nord-Est</w:t>
      </w:r>
      <w:r>
        <w:t xml:space="preserve"> le famiglie spendono mensilmente in cultura </w:t>
      </w:r>
      <w:r w:rsidRPr="00572ADC">
        <w:rPr>
          <w:b/>
        </w:rPr>
        <w:t>125 euro</w:t>
      </w:r>
      <w:r w:rsidR="00893DD1">
        <w:rPr>
          <w:b/>
        </w:rPr>
        <w:t xml:space="preserve"> </w:t>
      </w:r>
      <w:r w:rsidR="00893DD1" w:rsidRPr="00893DD1">
        <w:t>in media</w:t>
      </w:r>
      <w:r>
        <w:t xml:space="preserve">, nel </w:t>
      </w:r>
      <w:r w:rsidRPr="00572ADC">
        <w:rPr>
          <w:b/>
        </w:rPr>
        <w:t>Nord-Ovest</w:t>
      </w:r>
      <w:r>
        <w:t xml:space="preserve"> </w:t>
      </w:r>
      <w:r w:rsidRPr="00572ADC">
        <w:rPr>
          <w:b/>
        </w:rPr>
        <w:t>119</w:t>
      </w:r>
      <w:r w:rsidRPr="00572ADC">
        <w:t>, al</w:t>
      </w:r>
      <w:r>
        <w:rPr>
          <w:b/>
        </w:rPr>
        <w:t xml:space="preserve"> Centro 95,7 euro </w:t>
      </w:r>
      <w:r>
        <w:t xml:space="preserve">(appena sopra la </w:t>
      </w:r>
      <w:r w:rsidRPr="003A586E">
        <w:rPr>
          <w:b/>
        </w:rPr>
        <w:t>media italiana</w:t>
      </w:r>
      <w:r>
        <w:t xml:space="preserve"> pari a </w:t>
      </w:r>
      <w:r w:rsidRPr="003A586E">
        <w:rPr>
          <w:b/>
        </w:rPr>
        <w:t>94 euro</w:t>
      </w:r>
      <w:r>
        <w:t xml:space="preserve">), mentre al </w:t>
      </w:r>
      <w:r w:rsidRPr="003A586E">
        <w:rPr>
          <w:b/>
        </w:rPr>
        <w:t>Sud</w:t>
      </w:r>
      <w:r>
        <w:t xml:space="preserve"> si scende a </w:t>
      </w:r>
      <w:r w:rsidRPr="003A586E">
        <w:rPr>
          <w:b/>
        </w:rPr>
        <w:t>57,5 euro</w:t>
      </w:r>
      <w:r>
        <w:t xml:space="preserve"> mensili e nelle </w:t>
      </w:r>
      <w:r w:rsidRPr="003A586E">
        <w:rPr>
          <w:b/>
        </w:rPr>
        <w:t>Isole</w:t>
      </w:r>
      <w:r>
        <w:t xml:space="preserve"> il dato crolla a </w:t>
      </w:r>
      <w:r w:rsidRPr="003A586E">
        <w:rPr>
          <w:b/>
        </w:rPr>
        <w:t>38,7</w:t>
      </w:r>
      <w:r>
        <w:t xml:space="preserve"> euro.</w:t>
      </w:r>
    </w:p>
    <w:p w:rsidR="00DF4CC8" w:rsidRDefault="00DF4CC8" w:rsidP="00017D54">
      <w:pPr>
        <w:spacing w:after="0" w:line="276" w:lineRule="auto"/>
        <w:jc w:val="both"/>
        <w:rPr>
          <w:highlight w:val="yellow"/>
        </w:rPr>
      </w:pPr>
    </w:p>
    <w:p w:rsidR="00017D54" w:rsidRDefault="00017D54" w:rsidP="00017D54">
      <w:pPr>
        <w:spacing w:after="0" w:line="276" w:lineRule="auto"/>
        <w:jc w:val="both"/>
      </w:pPr>
      <w:r w:rsidRPr="00017D54">
        <w:t>Considerazioni simili si possono fa</w:t>
      </w:r>
      <w:r>
        <w:t xml:space="preserve">re sulla partecipazione culturale. </w:t>
      </w:r>
      <w:r w:rsidR="008B42A4">
        <w:t>La fruizione di intrattenimenti come teatro, cinema, musei varia moltissimo nelle Regioni</w:t>
      </w:r>
      <w:r w:rsidR="00893DD1">
        <w:t xml:space="preserve"> italiane</w:t>
      </w:r>
      <w:r w:rsidR="008B42A4">
        <w:t>. Ad esempio, mentr</w:t>
      </w:r>
      <w:r w:rsidR="007E7D37">
        <w:t xml:space="preserve">e </w:t>
      </w:r>
      <w:r w:rsidR="007E7D37" w:rsidRPr="007E7D37">
        <w:rPr>
          <w:b/>
        </w:rPr>
        <w:t xml:space="preserve">in Friuli Venezia Giulia visita un museo o una mostra </w:t>
      </w:r>
      <w:r w:rsidR="008B42A4" w:rsidRPr="007E7D37">
        <w:rPr>
          <w:b/>
        </w:rPr>
        <w:t>almeno una volta l’anno il 37,5% dei residenti</w:t>
      </w:r>
      <w:r w:rsidR="008B42A4">
        <w:t xml:space="preserve">, in </w:t>
      </w:r>
      <w:r w:rsidR="007E7D37" w:rsidRPr="007E7D37">
        <w:rPr>
          <w:b/>
        </w:rPr>
        <w:t>Calabria</w:t>
      </w:r>
      <w:r w:rsidR="007E7D37">
        <w:t xml:space="preserve"> lo fa solo il </w:t>
      </w:r>
      <w:r w:rsidR="007E7D37">
        <w:rPr>
          <w:b/>
        </w:rPr>
        <w:t>14%</w:t>
      </w:r>
      <w:r w:rsidR="007E7D37" w:rsidRPr="007E7D37">
        <w:t>, così come</w:t>
      </w:r>
      <w:r w:rsidR="007E7D37">
        <w:t xml:space="preserve"> </w:t>
      </w:r>
      <w:r w:rsidR="007E7D37" w:rsidRPr="007E7D37">
        <w:rPr>
          <w:b/>
        </w:rPr>
        <w:t>nel Lazio va a teatro il 29% dei residenti</w:t>
      </w:r>
      <w:r w:rsidR="00AD1A0A">
        <w:t xml:space="preserve"> e</w:t>
      </w:r>
      <w:r w:rsidR="007E7D37">
        <w:t xml:space="preserve"> in </w:t>
      </w:r>
      <w:r w:rsidR="007E7D37" w:rsidRPr="007E7D37">
        <w:rPr>
          <w:b/>
        </w:rPr>
        <w:t>Sardegna</w:t>
      </w:r>
      <w:r w:rsidR="007E7D37">
        <w:t xml:space="preserve"> appena il </w:t>
      </w:r>
      <w:r w:rsidR="007E7D37" w:rsidRPr="007E7D37">
        <w:rPr>
          <w:b/>
        </w:rPr>
        <w:t>13%</w:t>
      </w:r>
      <w:r w:rsidR="007E7D37">
        <w:t>.</w:t>
      </w:r>
    </w:p>
    <w:p w:rsidR="002248A4" w:rsidRPr="00017D54" w:rsidRDefault="002248A4" w:rsidP="00AD1A0A">
      <w:pPr>
        <w:spacing w:before="240" w:after="0" w:line="276" w:lineRule="auto"/>
        <w:jc w:val="both"/>
      </w:pPr>
      <w:r>
        <w:t xml:space="preserve">Nelle macro-aree si evidenziano le stesse </w:t>
      </w:r>
      <w:r w:rsidR="00893DD1">
        <w:t xml:space="preserve">dinamiche con il Sud e le Isole che in tutti i settori esprimono livelli di partecipazione culturale inferiori a quelli delle altre aree del Paese come, ad esempio, nel caso dei </w:t>
      </w:r>
      <w:r w:rsidR="00893DD1" w:rsidRPr="00062F19">
        <w:rPr>
          <w:b/>
        </w:rPr>
        <w:t xml:space="preserve">musei che nel Nord vengono visitati dal 33,6% dei cittadini e </w:t>
      </w:r>
      <w:r w:rsidR="00062F19">
        <w:rPr>
          <w:b/>
        </w:rPr>
        <w:t>nel S</w:t>
      </w:r>
      <w:r w:rsidR="00062F19" w:rsidRPr="00062F19">
        <w:rPr>
          <w:b/>
        </w:rPr>
        <w:t>ud dalla metà</w:t>
      </w:r>
      <w:r w:rsidR="00062F19">
        <w:rPr>
          <w:b/>
        </w:rPr>
        <w:t>:</w:t>
      </w:r>
      <w:r w:rsidR="00062F19" w:rsidRPr="00062F19">
        <w:rPr>
          <w:b/>
        </w:rPr>
        <w:t xml:space="preserve"> il16,4%</w:t>
      </w:r>
      <w:r w:rsidR="00062F19">
        <w:t>.</w:t>
      </w:r>
    </w:p>
    <w:p w:rsidR="008B42A4" w:rsidRDefault="008B42A4" w:rsidP="00017D5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</w:p>
    <w:p w:rsidR="00AD1A0A" w:rsidRDefault="00AD1A0A">
      <w:pPr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br w:type="page"/>
      </w:r>
    </w:p>
    <w:p w:rsidR="00017D54" w:rsidRPr="00017D54" w:rsidRDefault="00DF4CC8" w:rsidP="007E7D3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 w:rsidRPr="00017D54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lastRenderedPageBreak/>
        <w:t>Persone di 6 anni e più che hanno fruito di intrattenimenti culturali almeno</w:t>
      </w:r>
      <w:r w:rsidR="00017D54" w:rsidRPr="00017D54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una volta negli ultimi 12 mesi</w:t>
      </w:r>
    </w:p>
    <w:p w:rsidR="00DF4CC8" w:rsidRPr="00017D54" w:rsidRDefault="00DF4CC8" w:rsidP="007E7D37">
      <w:pPr>
        <w:spacing w:after="0" w:line="276" w:lineRule="auto"/>
        <w:jc w:val="center"/>
        <w:rPr>
          <w:sz w:val="18"/>
        </w:rPr>
      </w:pPr>
      <w:r w:rsidRPr="00017D54">
        <w:rPr>
          <w:sz w:val="18"/>
        </w:rPr>
        <w:t>Anno 2014, per 100 persone della stessa classe di età, sesso e zona</w:t>
      </w:r>
    </w:p>
    <w:p w:rsidR="00017D54" w:rsidRDefault="007E7D37" w:rsidP="007E7D37">
      <w:pPr>
        <w:spacing w:after="0" w:line="276" w:lineRule="auto"/>
        <w:jc w:val="center"/>
        <w:rPr>
          <w:highlight w:val="yellow"/>
        </w:rPr>
      </w:pPr>
      <w:r>
        <w:rPr>
          <w:noProof/>
          <w:lang w:eastAsia="it-IT"/>
        </w:rPr>
        <w:drawing>
          <wp:inline distT="0" distB="0" distL="0" distR="0" wp14:anchorId="77B28F0F" wp14:editId="786EC905">
            <wp:extent cx="4924425" cy="4493895"/>
            <wp:effectExtent l="0" t="0" r="9525" b="190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48A4" w:rsidRPr="005D04FA" w:rsidRDefault="002248A4" w:rsidP="002248A4">
      <w:pPr>
        <w:spacing w:after="0" w:line="276" w:lineRule="auto"/>
        <w:jc w:val="center"/>
        <w:rPr>
          <w:sz w:val="18"/>
          <w:szCs w:val="18"/>
        </w:rPr>
      </w:pPr>
      <w:r w:rsidRPr="005D04FA">
        <w:rPr>
          <w:sz w:val="18"/>
          <w:szCs w:val="18"/>
        </w:rPr>
        <w:t>Fonte: elaborazioni Federculture su dati ISTAT</w:t>
      </w:r>
    </w:p>
    <w:p w:rsidR="00017D54" w:rsidRDefault="00017D54" w:rsidP="004B2F74">
      <w:pPr>
        <w:spacing w:after="0" w:line="276" w:lineRule="auto"/>
        <w:jc w:val="both"/>
        <w:rPr>
          <w:highlight w:val="yellow"/>
        </w:rPr>
      </w:pPr>
    </w:p>
    <w:p w:rsidR="002248A4" w:rsidRDefault="002248A4" w:rsidP="004B2F74">
      <w:pPr>
        <w:spacing w:after="0" w:line="276" w:lineRule="auto"/>
        <w:jc w:val="both"/>
        <w:rPr>
          <w:highlight w:val="yellow"/>
        </w:rPr>
      </w:pPr>
    </w:p>
    <w:p w:rsidR="00062F19" w:rsidRPr="000937DF" w:rsidRDefault="00062F19" w:rsidP="00885DC0">
      <w:pPr>
        <w:pStyle w:val="Paragrafoelenco"/>
        <w:numPr>
          <w:ilvl w:val="0"/>
          <w:numId w:val="9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t>Due facce della stessa medaglia: “fruitori forti” e astensione culturale</w:t>
      </w:r>
    </w:p>
    <w:p w:rsidR="002248A4" w:rsidRDefault="00885DC0" w:rsidP="004B2F74">
      <w:pPr>
        <w:spacing w:after="0" w:line="276" w:lineRule="auto"/>
        <w:jc w:val="both"/>
      </w:pPr>
      <w:r w:rsidRPr="00885DC0">
        <w:t xml:space="preserve">I dati sulla fruizione culturale degli italiani </w:t>
      </w:r>
      <w:r>
        <w:t>offrono</w:t>
      </w:r>
      <w:r w:rsidRPr="00885DC0">
        <w:t xml:space="preserve"> </w:t>
      </w:r>
      <w:r>
        <w:t>una possibile lettura più approfondita</w:t>
      </w:r>
      <w:r w:rsidR="00091CF9">
        <w:t>,</w:t>
      </w:r>
      <w:r>
        <w:t xml:space="preserve"> dalla quale emergono elementi interessanti sulla </w:t>
      </w:r>
      <w:r w:rsidRPr="00C13537">
        <w:rPr>
          <w:b/>
        </w:rPr>
        <w:t>reale consistenza della fascia di cittadini che partecipa alle attività culturali</w:t>
      </w:r>
      <w:r w:rsidR="00091CF9" w:rsidRPr="00C13537">
        <w:rPr>
          <w:b/>
        </w:rPr>
        <w:t xml:space="preserve"> in modo costante e ripetuto nel tempo</w:t>
      </w:r>
      <w:r>
        <w:t>.</w:t>
      </w:r>
    </w:p>
    <w:p w:rsidR="00091CF9" w:rsidRDefault="00885DC0" w:rsidP="00091CF9">
      <w:pPr>
        <w:spacing w:before="80" w:after="0" w:line="276" w:lineRule="auto"/>
        <w:jc w:val="both"/>
      </w:pPr>
      <w:r>
        <w:t>In questa chiave scomponendo il</w:t>
      </w:r>
      <w:r w:rsidR="00091CF9">
        <w:t xml:space="preserve"> dato sulla </w:t>
      </w:r>
      <w:r w:rsidR="00091CF9" w:rsidRPr="001401E9">
        <w:rPr>
          <w:b/>
        </w:rPr>
        <w:t>fruizione museale</w:t>
      </w:r>
      <w:r w:rsidR="00091CF9">
        <w:t xml:space="preserve">, ad esempio, emerge che se il </w:t>
      </w:r>
      <w:r w:rsidR="001401E9">
        <w:t xml:space="preserve">valore </w:t>
      </w:r>
      <w:r w:rsidR="00091CF9">
        <w:t xml:space="preserve">medio di frequentazione nell’anno corrisponde al 28% dei cittadini, quelli che lo fanno ripetutamente nell’arco dei dodici mesi sono molti meno: </w:t>
      </w:r>
      <w:r w:rsidR="00091CF9" w:rsidRPr="001401E9">
        <w:rPr>
          <w:b/>
        </w:rPr>
        <w:t xml:space="preserve">il 21% visita un museo </w:t>
      </w:r>
      <w:r w:rsidR="008618D0">
        <w:rPr>
          <w:b/>
        </w:rPr>
        <w:t>da una</w:t>
      </w:r>
      <w:r w:rsidR="00091CF9" w:rsidRPr="001401E9">
        <w:rPr>
          <w:b/>
        </w:rPr>
        <w:t xml:space="preserve"> a 3 volte in un anno, solo il 2,4% </w:t>
      </w:r>
      <w:r w:rsidR="001401E9" w:rsidRPr="001401E9">
        <w:rPr>
          <w:b/>
        </w:rPr>
        <w:t xml:space="preserve">vi si reca </w:t>
      </w:r>
      <w:r w:rsidR="00091CF9" w:rsidRPr="001401E9">
        <w:rPr>
          <w:b/>
        </w:rPr>
        <w:t>7 o più volte</w:t>
      </w:r>
      <w:r w:rsidR="00091CF9">
        <w:t xml:space="preserve">. </w:t>
      </w:r>
    </w:p>
    <w:p w:rsidR="00885DC0" w:rsidRDefault="00091CF9" w:rsidP="00091CF9">
      <w:pPr>
        <w:spacing w:before="80" w:after="0" w:line="276" w:lineRule="auto"/>
        <w:jc w:val="both"/>
      </w:pPr>
      <w:r>
        <w:t>Un dato simile riguarda il</w:t>
      </w:r>
      <w:r w:rsidR="001401E9">
        <w:t xml:space="preserve"> </w:t>
      </w:r>
      <w:r w:rsidR="001401E9" w:rsidRPr="001401E9">
        <w:rPr>
          <w:b/>
        </w:rPr>
        <w:t>teatro</w:t>
      </w:r>
      <w:r w:rsidR="001401E9">
        <w:t xml:space="preserve"> i cui “fruitori forti” sono </w:t>
      </w:r>
      <w:r w:rsidR="001401E9" w:rsidRPr="001401E9">
        <w:rPr>
          <w:b/>
        </w:rPr>
        <w:t>il 16,6% per chi lo frequenta fino</w:t>
      </w:r>
      <w:r w:rsidR="008618D0">
        <w:rPr>
          <w:b/>
        </w:rPr>
        <w:t xml:space="preserve"> a 3 volte in 12 mesi e appena l’</w:t>
      </w:r>
      <w:r w:rsidR="001401E9" w:rsidRPr="001401E9">
        <w:rPr>
          <w:b/>
        </w:rPr>
        <w:t>1,4%</w:t>
      </w:r>
      <w:r w:rsidR="001401E9">
        <w:t xml:space="preserve"> </w:t>
      </w:r>
      <w:r w:rsidR="001401E9" w:rsidRPr="001401E9">
        <w:rPr>
          <w:b/>
        </w:rPr>
        <w:t>coloro che ci vanno oltre le 7 volte l’anno</w:t>
      </w:r>
      <w:r w:rsidR="001401E9">
        <w:t>.</w:t>
      </w:r>
    </w:p>
    <w:p w:rsidR="001401E9" w:rsidRPr="00885DC0" w:rsidRDefault="001401E9" w:rsidP="001401E9">
      <w:pPr>
        <w:spacing w:after="0" w:line="276" w:lineRule="auto"/>
        <w:jc w:val="both"/>
      </w:pPr>
    </w:p>
    <w:p w:rsidR="00091CF9" w:rsidRPr="00017D54" w:rsidRDefault="00091CF9" w:rsidP="00091CF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 w:rsidRPr="00017D54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>Persone di 6 anni e più che hanno fruito di intrattenimenti culturali negli ultimi 12 mesi</w:t>
      </w:r>
    </w:p>
    <w:p w:rsidR="00091CF9" w:rsidRPr="00017D54" w:rsidRDefault="00091CF9" w:rsidP="00091CF9">
      <w:pPr>
        <w:spacing w:after="0" w:line="276" w:lineRule="auto"/>
        <w:jc w:val="center"/>
        <w:rPr>
          <w:sz w:val="18"/>
        </w:rPr>
      </w:pPr>
      <w:r w:rsidRPr="00017D54">
        <w:rPr>
          <w:sz w:val="18"/>
        </w:rPr>
        <w:t>Anno 2014, per 100 persone della stessa classe di età, sesso e zona</w:t>
      </w:r>
    </w:p>
    <w:tbl>
      <w:tblPr>
        <w:tblW w:w="62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139"/>
        <w:gridCol w:w="1276"/>
        <w:gridCol w:w="1559"/>
      </w:tblGrid>
      <w:tr w:rsidR="00091CF9" w:rsidRPr="00091CF9" w:rsidTr="00091CF9">
        <w:trPr>
          <w:trHeight w:val="720"/>
          <w:jc w:val="center"/>
        </w:trPr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Almeno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</w:t>
            </w: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una volta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l’anno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Da 1 a 3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</w:t>
            </w: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volte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</w:t>
            </w: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l'anno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CF9" w:rsidRPr="00091CF9" w:rsidRDefault="00091CF9" w:rsidP="009B390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7 volte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</w:t>
            </w: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e più</w:t>
            </w:r>
            <w:r w:rsidR="009B390A">
              <w:rPr>
                <w:rFonts w:eastAsia="Times New Roman" w:cs="Arial"/>
                <w:sz w:val="18"/>
                <w:szCs w:val="14"/>
                <w:lang w:eastAsia="it-IT"/>
              </w:rPr>
              <w:t xml:space="preserve"> volte </w:t>
            </w: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l'anno</w:t>
            </w:r>
          </w:p>
        </w:tc>
      </w:tr>
      <w:tr w:rsidR="00091CF9" w:rsidRPr="00091CF9" w:rsidTr="00091CF9">
        <w:trPr>
          <w:trHeight w:val="180"/>
          <w:jc w:val="center"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Concerti di musica classica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9,3%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7,1%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0,9%</w:t>
            </w:r>
          </w:p>
        </w:tc>
      </w:tr>
      <w:tr w:rsidR="00091CF9" w:rsidRPr="00091CF9" w:rsidTr="00091CF9">
        <w:trPr>
          <w:trHeight w:val="180"/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Teatro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18,9%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15,3%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1,4%</w:t>
            </w:r>
          </w:p>
        </w:tc>
      </w:tr>
      <w:tr w:rsidR="00091CF9" w:rsidRPr="00091CF9" w:rsidTr="00091CF9">
        <w:trPr>
          <w:trHeight w:val="180"/>
          <w:jc w:val="center"/>
        </w:trPr>
        <w:tc>
          <w:tcPr>
            <w:tcW w:w="2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Musei, mostre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27,9%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20,9%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2,4%</w:t>
            </w:r>
          </w:p>
        </w:tc>
      </w:tr>
      <w:tr w:rsidR="00091CF9" w:rsidRPr="00091CF9" w:rsidTr="00091CF9">
        <w:trPr>
          <w:trHeight w:val="180"/>
          <w:jc w:val="center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Siti archeologici, monumenti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21,9%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16,6%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CF9" w:rsidRPr="00091CF9" w:rsidRDefault="00091CF9" w:rsidP="00091CF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091CF9">
              <w:rPr>
                <w:rFonts w:eastAsia="Times New Roman" w:cs="Arial"/>
                <w:sz w:val="18"/>
                <w:szCs w:val="14"/>
                <w:lang w:eastAsia="it-IT"/>
              </w:rPr>
              <w:t>1,8%</w:t>
            </w:r>
          </w:p>
        </w:tc>
      </w:tr>
    </w:tbl>
    <w:p w:rsidR="00091CF9" w:rsidRPr="005D04FA" w:rsidRDefault="00091CF9" w:rsidP="00091CF9">
      <w:pPr>
        <w:spacing w:after="0" w:line="276" w:lineRule="auto"/>
        <w:jc w:val="center"/>
        <w:rPr>
          <w:sz w:val="18"/>
          <w:szCs w:val="18"/>
        </w:rPr>
      </w:pPr>
      <w:r w:rsidRPr="005D04FA">
        <w:rPr>
          <w:sz w:val="18"/>
          <w:szCs w:val="18"/>
        </w:rPr>
        <w:t>Fonte: elaborazioni Federculture su dati ISTAT</w:t>
      </w:r>
    </w:p>
    <w:p w:rsidR="00885DC0" w:rsidRDefault="00885DC0" w:rsidP="004B2F74">
      <w:pPr>
        <w:spacing w:after="0" w:line="276" w:lineRule="auto"/>
        <w:jc w:val="both"/>
        <w:rPr>
          <w:highlight w:val="yellow"/>
        </w:rPr>
      </w:pPr>
    </w:p>
    <w:p w:rsidR="001401E9" w:rsidRDefault="001401E9" w:rsidP="004B2F74">
      <w:pPr>
        <w:spacing w:after="0" w:line="276" w:lineRule="auto"/>
        <w:jc w:val="both"/>
      </w:pPr>
      <w:r w:rsidRPr="001401E9">
        <w:lastRenderedPageBreak/>
        <w:t>Sembra</w:t>
      </w:r>
      <w:r>
        <w:t>,</w:t>
      </w:r>
      <w:r w:rsidRPr="001401E9">
        <w:t xml:space="preserve"> dunque</w:t>
      </w:r>
      <w:r>
        <w:t>,</w:t>
      </w:r>
      <w:r w:rsidRPr="001401E9">
        <w:t xml:space="preserve"> che la fruizione</w:t>
      </w:r>
      <w:r>
        <w:t xml:space="preserve"> culturale per gli italiani sia un fatto puramente occasionale e comunque interess</w:t>
      </w:r>
      <w:r w:rsidR="007F4046">
        <w:t>i</w:t>
      </w:r>
      <w:r>
        <w:t xml:space="preserve"> una fascia ristretta della popolazione. Se, infatti</w:t>
      </w:r>
      <w:r w:rsidR="00C13537">
        <w:t>,</w:t>
      </w:r>
      <w:r>
        <w:t xml:space="preserve"> di questi stessi dati si legge </w:t>
      </w:r>
      <w:r w:rsidR="00C13537">
        <w:t xml:space="preserve">l’altra faccia della medaglia quella della </w:t>
      </w:r>
      <w:r w:rsidR="00C13537" w:rsidRPr="00C13537">
        <w:rPr>
          <w:b/>
        </w:rPr>
        <w:t>astensione culturale</w:t>
      </w:r>
      <w:r w:rsidR="00AD1A0A">
        <w:t xml:space="preserve">, </w:t>
      </w:r>
      <w:r w:rsidR="007F4046">
        <w:t>emerge un quadro preoccupante del rapporto tra italiani e attività culturali.</w:t>
      </w:r>
    </w:p>
    <w:p w:rsidR="00C13537" w:rsidRDefault="00C13537" w:rsidP="00AD1A0A">
      <w:pPr>
        <w:shd w:val="clear" w:color="auto" w:fill="FFF2CC" w:themeFill="accent4" w:themeFillTint="33"/>
        <w:spacing w:before="120" w:after="0" w:line="276" w:lineRule="auto"/>
        <w:jc w:val="both"/>
      </w:pPr>
      <w:r>
        <w:t xml:space="preserve">In questo caso i dati </w:t>
      </w:r>
      <w:r w:rsidRPr="00C13537">
        <w:t>ci dic</w:t>
      </w:r>
      <w:r>
        <w:t>ono</w:t>
      </w:r>
      <w:r w:rsidRPr="00C13537">
        <w:t xml:space="preserve"> che </w:t>
      </w:r>
      <w:r w:rsidRPr="00C13537">
        <w:rPr>
          <w:b/>
          <w:bCs/>
        </w:rPr>
        <w:t>il 70% degli italiani</w:t>
      </w:r>
      <w:r>
        <w:rPr>
          <w:b/>
          <w:bCs/>
        </w:rPr>
        <w:t xml:space="preserve"> </w:t>
      </w:r>
      <w:r w:rsidRPr="00C13537">
        <w:rPr>
          <w:b/>
          <w:bCs/>
        </w:rPr>
        <w:t>non va mai in un museo o a visitare una mostra, l’88% non assiste a concerti</w:t>
      </w:r>
      <w:r>
        <w:rPr>
          <w:b/>
          <w:bCs/>
        </w:rPr>
        <w:t xml:space="preserve"> </w:t>
      </w:r>
      <w:r w:rsidRPr="00C13537">
        <w:rPr>
          <w:b/>
          <w:bCs/>
        </w:rPr>
        <w:t>di musica classica, il 78% non mette piede a teatro</w:t>
      </w:r>
      <w:r w:rsidRPr="00C13537">
        <w:t xml:space="preserve">. </w:t>
      </w:r>
    </w:p>
    <w:p w:rsidR="00C13537" w:rsidRDefault="00C13537" w:rsidP="0067424A">
      <w:pPr>
        <w:shd w:val="clear" w:color="auto" w:fill="FFF2CC" w:themeFill="accent4" w:themeFillTint="33"/>
        <w:spacing w:after="0" w:line="276" w:lineRule="auto"/>
        <w:jc w:val="both"/>
      </w:pPr>
      <w:r w:rsidRPr="00C13537">
        <w:t>Complessivamente</w:t>
      </w:r>
      <w:r>
        <w:t xml:space="preserve"> </w:t>
      </w:r>
      <w:r w:rsidR="00AD1A0A" w:rsidRPr="00C13537">
        <w:rPr>
          <w:b/>
          <w:bCs/>
        </w:rPr>
        <w:t>il 19,3% dei nostri concittadini</w:t>
      </w:r>
      <w:r w:rsidR="00AD1A0A">
        <w:rPr>
          <w:b/>
          <w:bCs/>
        </w:rPr>
        <w:t>, vale a dire 1/5 della popolazione italiana,</w:t>
      </w:r>
      <w:r w:rsidR="00AD1A0A" w:rsidRPr="00C13537">
        <w:rPr>
          <w:b/>
          <w:bCs/>
        </w:rPr>
        <w:t xml:space="preserve"> nell’arco di un anno dichiara di </w:t>
      </w:r>
      <w:r w:rsidR="00AD1A0A" w:rsidRPr="00F32871">
        <w:rPr>
          <w:b/>
          <w:bCs/>
          <w:u w:val="single"/>
        </w:rPr>
        <w:t>non</w:t>
      </w:r>
      <w:r w:rsidR="00AD1A0A" w:rsidRPr="00C13537">
        <w:rPr>
          <w:b/>
          <w:bCs/>
        </w:rPr>
        <w:t xml:space="preserve"> fruire</w:t>
      </w:r>
      <w:r w:rsidR="00AD1A0A">
        <w:rPr>
          <w:b/>
          <w:bCs/>
        </w:rPr>
        <w:t xml:space="preserve"> </w:t>
      </w:r>
      <w:r w:rsidR="00AD1A0A" w:rsidRPr="00C13537">
        <w:rPr>
          <w:b/>
          <w:bCs/>
        </w:rPr>
        <w:t>di alcun intrattenimento culturale</w:t>
      </w:r>
      <w:r w:rsidR="00AD1A0A">
        <w:rPr>
          <w:b/>
          <w:bCs/>
        </w:rPr>
        <w:t>, né ha letto libri o quotidiani</w:t>
      </w:r>
      <w:r w:rsidRPr="00C13537">
        <w:t>.</w:t>
      </w:r>
    </w:p>
    <w:p w:rsidR="00252BBE" w:rsidRDefault="00252BBE" w:rsidP="00C13537">
      <w:pPr>
        <w:spacing w:after="0" w:line="276" w:lineRule="auto"/>
        <w:jc w:val="both"/>
      </w:pPr>
    </w:p>
    <w:p w:rsidR="00252BBE" w:rsidRPr="00252BBE" w:rsidRDefault="00252BBE" w:rsidP="00252BB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Persone di 6 anni e più che 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u w:val="single"/>
          <w:lang w:eastAsia="it-IT"/>
        </w:rPr>
        <w:t>NON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hanno fruito di spettacoli o intrattenimenti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>culturali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negli ultimi 12 mesi</w:t>
      </w:r>
    </w:p>
    <w:p w:rsidR="00252BBE" w:rsidRPr="00252BBE" w:rsidRDefault="00252BBE" w:rsidP="00C13537">
      <w:pPr>
        <w:spacing w:after="0" w:line="276" w:lineRule="auto"/>
        <w:jc w:val="both"/>
        <w:rPr>
          <w:sz w:val="20"/>
        </w:rPr>
      </w:pPr>
      <w:r w:rsidRPr="00252BBE">
        <w:rPr>
          <w:sz w:val="20"/>
        </w:rPr>
        <w:t>Per 100 persone della stessa classe di età, sesso e zona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074"/>
        <w:gridCol w:w="1399"/>
        <w:gridCol w:w="1417"/>
        <w:gridCol w:w="992"/>
        <w:gridCol w:w="994"/>
        <w:gridCol w:w="852"/>
        <w:gridCol w:w="992"/>
        <w:gridCol w:w="1185"/>
      </w:tblGrid>
      <w:tr w:rsidR="00252BBE" w:rsidRPr="00940C62" w:rsidTr="00940C62">
        <w:trPr>
          <w:trHeight w:val="300"/>
        </w:trPr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</w:p>
        </w:tc>
        <w:tc>
          <w:tcPr>
            <w:tcW w:w="3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Non hanno fruito di spettacoli fuori casa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2BBE" w:rsidRPr="00252BBE" w:rsidRDefault="00252BBE" w:rsidP="00252BB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Non hanno letto</w:t>
            </w:r>
            <w:r>
              <w:rPr>
                <w:rFonts w:eastAsia="Times New Roman" w:cs="Arial"/>
                <w:sz w:val="18"/>
                <w:szCs w:val="14"/>
                <w:lang w:eastAsia="it-IT"/>
              </w:rPr>
              <w:t xml:space="preserve"> l</w:t>
            </w: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ibri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5DCE4" w:themeFill="text2" w:themeFillTint="33"/>
            <w:hideMark/>
          </w:tcPr>
          <w:p w:rsidR="00252BBE" w:rsidRPr="00252BBE" w:rsidRDefault="00252BBE" w:rsidP="00252B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940C62">
              <w:rPr>
                <w:rFonts w:eastAsia="Times New Roman" w:cs="Arial"/>
                <w:b/>
                <w:sz w:val="18"/>
                <w:szCs w:val="14"/>
                <w:lang w:eastAsia="it-IT"/>
              </w:rPr>
              <w:t>Astensione complessiva *</w:t>
            </w:r>
          </w:p>
        </w:tc>
      </w:tr>
      <w:tr w:rsidR="00252BBE" w:rsidRPr="00940C62" w:rsidTr="00940C62">
        <w:trPr>
          <w:trHeight w:val="540"/>
        </w:trPr>
        <w:tc>
          <w:tcPr>
            <w:tcW w:w="5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Musei, mostre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Siti archeologici e monumenti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Concerti di musica classica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>Altri concerti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 xml:space="preserve">Teatro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sz w:val="18"/>
                <w:szCs w:val="14"/>
                <w:lang w:eastAsia="it-IT"/>
              </w:rPr>
              <w:t xml:space="preserve">Cinema </w:t>
            </w: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4"/>
                <w:lang w:eastAsia="it-IT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rPr>
                <w:rFonts w:eastAsia="Times New Roman" w:cs="Arial"/>
                <w:sz w:val="18"/>
                <w:szCs w:val="14"/>
                <w:lang w:eastAsia="it-IT"/>
              </w:rPr>
            </w:pPr>
          </w:p>
        </w:tc>
      </w:tr>
      <w:tr w:rsidR="00252BBE" w:rsidRPr="00940C62" w:rsidTr="00940C62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2014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69,7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75,7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88,2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79,2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78,7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50,0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56,5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252BBE" w:rsidRPr="00252BBE" w:rsidRDefault="00252BBE" w:rsidP="00252BBE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4"/>
                <w:lang w:eastAsia="it-IT"/>
              </w:rPr>
            </w:pPr>
            <w:r w:rsidRPr="00252BBE">
              <w:rPr>
                <w:rFonts w:eastAsia="Times New Roman" w:cs="Arial"/>
                <w:b/>
                <w:sz w:val="18"/>
                <w:szCs w:val="14"/>
                <w:lang w:eastAsia="it-IT"/>
              </w:rPr>
              <w:t>19,3</w:t>
            </w:r>
          </w:p>
        </w:tc>
      </w:tr>
    </w:tbl>
    <w:p w:rsidR="00252BBE" w:rsidRPr="00252BBE" w:rsidRDefault="00252BBE" w:rsidP="00252BBE">
      <w:pPr>
        <w:spacing w:after="0" w:line="240" w:lineRule="auto"/>
        <w:jc w:val="both"/>
        <w:rPr>
          <w:rFonts w:eastAsia="Times New Roman" w:cs="Arial"/>
          <w:i/>
          <w:sz w:val="18"/>
          <w:szCs w:val="14"/>
          <w:lang w:eastAsia="it-IT"/>
        </w:rPr>
      </w:pPr>
      <w:r w:rsidRPr="00252BBE">
        <w:rPr>
          <w:rFonts w:eastAsia="Times New Roman" w:cs="Arial"/>
          <w:i/>
          <w:sz w:val="18"/>
          <w:szCs w:val="14"/>
          <w:lang w:eastAsia="it-IT"/>
        </w:rPr>
        <w:t>* Persone che negli ultimi 12 mesi non hanno fruito di alcun intrattenimento o spettacolo fuori casa e non hanno letto né libri né quotidiani.</w:t>
      </w:r>
    </w:p>
    <w:p w:rsidR="00252BBE" w:rsidRPr="005D04FA" w:rsidRDefault="00252BBE" w:rsidP="00252BBE">
      <w:pPr>
        <w:spacing w:after="0" w:line="276" w:lineRule="auto"/>
        <w:rPr>
          <w:sz w:val="18"/>
          <w:szCs w:val="18"/>
        </w:rPr>
      </w:pPr>
      <w:proofErr w:type="gramStart"/>
      <w:r w:rsidRPr="005D04FA">
        <w:rPr>
          <w:sz w:val="18"/>
          <w:szCs w:val="18"/>
        </w:rPr>
        <w:t xml:space="preserve">Fonte: </w:t>
      </w:r>
      <w:r>
        <w:rPr>
          <w:sz w:val="18"/>
          <w:szCs w:val="18"/>
        </w:rPr>
        <w:t xml:space="preserve"> </w:t>
      </w:r>
      <w:r w:rsidRPr="005D04FA">
        <w:rPr>
          <w:sz w:val="18"/>
          <w:szCs w:val="18"/>
        </w:rPr>
        <w:t>ISTAT</w:t>
      </w:r>
      <w:proofErr w:type="gramEnd"/>
    </w:p>
    <w:p w:rsidR="001401E9" w:rsidRPr="008618D0" w:rsidRDefault="001401E9" w:rsidP="00252BBE">
      <w:pPr>
        <w:spacing w:after="0" w:line="276" w:lineRule="auto"/>
        <w:rPr>
          <w:sz w:val="18"/>
        </w:rPr>
      </w:pPr>
    </w:p>
    <w:p w:rsidR="005A2A52" w:rsidRPr="008618D0" w:rsidRDefault="005A2A52" w:rsidP="00252BBE">
      <w:pPr>
        <w:spacing w:after="0" w:line="276" w:lineRule="auto"/>
        <w:rPr>
          <w:sz w:val="18"/>
        </w:rPr>
      </w:pPr>
    </w:p>
    <w:p w:rsidR="00913ACB" w:rsidRDefault="00913ACB" w:rsidP="00913ACB">
      <w:pPr>
        <w:spacing w:after="0" w:line="276" w:lineRule="auto"/>
        <w:jc w:val="both"/>
      </w:pPr>
      <w:r>
        <w:t xml:space="preserve">Un ulteriore motivo di riflessione viene poi dalla lettura regionale di questi dati. </w:t>
      </w:r>
    </w:p>
    <w:p w:rsidR="00913ACB" w:rsidRDefault="00913ACB" w:rsidP="00913ACB">
      <w:pPr>
        <w:spacing w:after="0" w:line="276" w:lineRule="auto"/>
        <w:jc w:val="both"/>
      </w:pPr>
      <w:r>
        <w:t xml:space="preserve">Infatti, oltre ai singoli settori dove si registrano </w:t>
      </w:r>
      <w:r w:rsidRPr="007F4046">
        <w:rPr>
          <w:b/>
        </w:rPr>
        <w:t>punte di non fruizione del 91%</w:t>
      </w:r>
      <w:r w:rsidRPr="00913ACB">
        <w:t xml:space="preserve"> (per il teatro in Sicilia, ad esempio), a livello di </w:t>
      </w:r>
      <w:r w:rsidRPr="00913ACB">
        <w:rPr>
          <w:b/>
          <w:bCs/>
        </w:rPr>
        <w:t>astensione complessiva</w:t>
      </w:r>
      <w:r>
        <w:rPr>
          <w:b/>
          <w:bCs/>
        </w:rPr>
        <w:t xml:space="preserve"> </w:t>
      </w:r>
      <w:r w:rsidRPr="00913ACB">
        <w:t xml:space="preserve">- nessun tipo di fruizione nell’arco dell’anno - </w:t>
      </w:r>
      <w:r w:rsidRPr="00913ACB">
        <w:rPr>
          <w:b/>
          <w:bCs/>
        </w:rPr>
        <w:t>i valori superano il</w:t>
      </w:r>
      <w:r>
        <w:rPr>
          <w:b/>
          <w:bCs/>
        </w:rPr>
        <w:t xml:space="preserve"> </w:t>
      </w:r>
      <w:r w:rsidRPr="00913ACB">
        <w:rPr>
          <w:b/>
          <w:bCs/>
        </w:rPr>
        <w:t xml:space="preserve">30% in Puglia, Basilicata e Calabria </w:t>
      </w:r>
      <w:r w:rsidRPr="00913ACB">
        <w:t xml:space="preserve">mentre sono compresi </w:t>
      </w:r>
      <w:r w:rsidRPr="00913ACB">
        <w:rPr>
          <w:b/>
          <w:bCs/>
        </w:rPr>
        <w:t>tra il 6 e il 10%</w:t>
      </w:r>
      <w:r>
        <w:rPr>
          <w:b/>
          <w:bCs/>
        </w:rPr>
        <w:t xml:space="preserve"> </w:t>
      </w:r>
      <w:r w:rsidRPr="00913ACB">
        <w:rPr>
          <w:b/>
          <w:bCs/>
        </w:rPr>
        <w:t>in Valle d’Aosta, Trentino-Alto Adige e Friuli-Venezia Giulia</w:t>
      </w:r>
      <w:r w:rsidRPr="00913ACB">
        <w:t>.</w:t>
      </w:r>
    </w:p>
    <w:p w:rsidR="00913ACB" w:rsidRDefault="00913ACB" w:rsidP="00913ACB">
      <w:pPr>
        <w:spacing w:after="0" w:line="276" w:lineRule="auto"/>
        <w:jc w:val="both"/>
      </w:pPr>
    </w:p>
    <w:p w:rsidR="00913ACB" w:rsidRPr="00252BBE" w:rsidRDefault="00913ACB" w:rsidP="00913AC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Persone di 6 anni e più che 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u w:val="single"/>
          <w:lang w:eastAsia="it-IT"/>
        </w:rPr>
        <w:t>NON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hanno fruito di spettacoli o intrattenimenti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>culturali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negli ultimi 12 mesi</w:t>
      </w:r>
    </w:p>
    <w:p w:rsidR="00913ACB" w:rsidRPr="00940C62" w:rsidRDefault="00913ACB" w:rsidP="00913ACB">
      <w:pPr>
        <w:spacing w:after="0" w:line="276" w:lineRule="auto"/>
        <w:jc w:val="both"/>
        <w:rPr>
          <w:sz w:val="20"/>
        </w:rPr>
      </w:pPr>
      <w:r w:rsidRPr="00940C62">
        <w:rPr>
          <w:sz w:val="20"/>
        </w:rPr>
        <w:t>Anno 2014. Per 100 persone della stessa classe di età, sesso e zona</w:t>
      </w:r>
    </w:p>
    <w:tbl>
      <w:tblPr>
        <w:tblpPr w:leftFromText="141" w:rightFromText="141" w:vertAnchor="text" w:horzAnchor="margin" w:tblpY="350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957"/>
        <w:gridCol w:w="1237"/>
        <w:gridCol w:w="957"/>
        <w:gridCol w:w="957"/>
        <w:gridCol w:w="957"/>
        <w:gridCol w:w="957"/>
        <w:gridCol w:w="956"/>
        <w:gridCol w:w="1178"/>
      </w:tblGrid>
      <w:tr w:rsidR="00913ACB" w:rsidRPr="00940C62" w:rsidTr="00940C62">
        <w:trPr>
          <w:trHeight w:val="283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A26D0B">
              <w:rPr>
                <w:rFonts w:eastAsia="Times New Roman" w:cs="Times New Roman"/>
                <w:b/>
                <w:sz w:val="18"/>
                <w:szCs w:val="18"/>
                <w:u w:val="single"/>
                <w:lang w:eastAsia="it-IT"/>
              </w:rPr>
              <w:t>Non</w:t>
            </w:r>
            <w:r w:rsidRPr="00940C6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hanno fruito di </w:t>
            </w: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spettacoli fuori casa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Times New Roman"/>
                <w:b/>
                <w:sz w:val="18"/>
                <w:szCs w:val="18"/>
                <w:u w:val="single"/>
                <w:lang w:eastAsia="it-IT"/>
              </w:rPr>
              <w:t>Non</w:t>
            </w: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hanno letto libri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Astensione complessiva</w:t>
            </w:r>
            <w:r w:rsidR="00A26D0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*</w:t>
            </w:r>
          </w:p>
        </w:tc>
      </w:tr>
      <w:tr w:rsidR="00913ACB" w:rsidRPr="00940C62" w:rsidTr="00940C62">
        <w:trPr>
          <w:trHeight w:val="675"/>
        </w:trPr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Musei, mostre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Siti archeologici e monumenti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Concerti di musica classica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Altri concerti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Teatro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13AC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Cinema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913ACB" w:rsidRPr="00913ACB" w:rsidRDefault="00913ACB" w:rsidP="00A26D0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Trentino-Alto Adige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52,6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53,8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44,4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6,8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Friuli-Venezia Giulia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59,8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70,6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85,7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76,6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75,4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50,1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43,8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8,7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Valle d'Aosta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67,2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71,0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89,5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79,4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49,8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50,1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9,4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Emilia-Romagna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64,5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72,6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79,6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13,3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Lombardia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63,6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73,0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75,8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48,6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50,4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13,8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Veneto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67,7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74,8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79,7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80,7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53,8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52,5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14,0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Toscana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63,3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70,9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86,2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48,6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14,0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Piemonte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62,0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72,2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86,9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49,5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48,8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14,1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Sardegna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67,9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67,3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76,5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83,6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55,3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51,7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14,3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Liguria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90,7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85,2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80,4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49,3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16,1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Lazio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63,5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85,7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70,0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41,3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53,4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18,4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71,6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75,4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85,9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58,0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20,8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Abruzzo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74,3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80,6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62,6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21,9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Umbria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69,7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76,0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89,5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22,0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Molise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79,0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89,5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80,0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87,3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55,4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61,2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26,9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Sicilia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81,4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83,9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91,3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81,9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71,8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29,4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Campania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83,9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92,0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68,3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29,8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Basilicata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78,6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90,2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74,8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83,7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69,6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30,3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Calabria   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82,6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85,3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88,5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77,3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89,2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60,3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67,1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30,3</w:t>
            </w:r>
          </w:p>
        </w:tc>
      </w:tr>
      <w:tr w:rsidR="00913ACB" w:rsidRPr="00913ACB" w:rsidTr="00940C62">
        <w:trPr>
          <w:trHeight w:val="283"/>
        </w:trPr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 xml:space="preserve">Puglia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90,6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82,7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52,7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70,8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913ACB" w:rsidRPr="00913ACB" w:rsidRDefault="00913ACB" w:rsidP="00A26D0B">
            <w:pPr>
              <w:spacing w:after="0"/>
              <w:jc w:val="right"/>
              <w:rPr>
                <w:sz w:val="18"/>
                <w:szCs w:val="18"/>
              </w:rPr>
            </w:pPr>
            <w:r w:rsidRPr="00913ACB">
              <w:rPr>
                <w:sz w:val="18"/>
                <w:szCs w:val="18"/>
              </w:rPr>
              <w:t>30,7</w:t>
            </w:r>
          </w:p>
        </w:tc>
      </w:tr>
    </w:tbl>
    <w:p w:rsidR="00A26D0B" w:rsidRPr="00252BBE" w:rsidRDefault="00A26D0B" w:rsidP="00A26D0B">
      <w:pPr>
        <w:spacing w:after="0" w:line="240" w:lineRule="auto"/>
        <w:jc w:val="both"/>
        <w:rPr>
          <w:rFonts w:eastAsia="Times New Roman" w:cs="Arial"/>
          <w:i/>
          <w:sz w:val="18"/>
          <w:szCs w:val="14"/>
          <w:lang w:eastAsia="it-IT"/>
        </w:rPr>
      </w:pPr>
      <w:r w:rsidRPr="00252BBE">
        <w:rPr>
          <w:rFonts w:eastAsia="Times New Roman" w:cs="Arial"/>
          <w:i/>
          <w:sz w:val="18"/>
          <w:szCs w:val="14"/>
          <w:lang w:eastAsia="it-IT"/>
        </w:rPr>
        <w:t>* Persone che negli ultimi 12 mesi non hanno fruito di alcun intrattenimento o spettacolo fuori casa e non hanno letto né libri né quotidiani.</w:t>
      </w:r>
    </w:p>
    <w:p w:rsidR="008618D0" w:rsidRPr="00252BBE" w:rsidRDefault="008618D0" w:rsidP="008618D0">
      <w:pPr>
        <w:spacing w:after="0" w:line="240" w:lineRule="auto"/>
        <w:jc w:val="both"/>
        <w:rPr>
          <w:rFonts w:eastAsia="Times New Roman" w:cs="Arial"/>
          <w:i/>
          <w:sz w:val="18"/>
          <w:szCs w:val="14"/>
          <w:lang w:eastAsia="it-IT"/>
        </w:rPr>
      </w:pPr>
      <w:r w:rsidRPr="00252BBE">
        <w:rPr>
          <w:rFonts w:eastAsia="Times New Roman" w:cs="Arial"/>
          <w:i/>
          <w:sz w:val="18"/>
          <w:szCs w:val="14"/>
          <w:lang w:eastAsia="it-IT"/>
        </w:rPr>
        <w:t>* Persone che negli ultimi 12 mesi non hanno fruito di alcun intrattenimento o spettacolo fuori casa e non hanno letto né libri né quotidiani.</w:t>
      </w:r>
    </w:p>
    <w:p w:rsidR="00913ACB" w:rsidRPr="005D04FA" w:rsidRDefault="00913ACB" w:rsidP="00913ACB">
      <w:pPr>
        <w:spacing w:after="0" w:line="276" w:lineRule="auto"/>
        <w:rPr>
          <w:sz w:val="18"/>
          <w:szCs w:val="18"/>
        </w:rPr>
      </w:pPr>
      <w:proofErr w:type="gramStart"/>
      <w:r w:rsidRPr="005D04FA">
        <w:rPr>
          <w:sz w:val="18"/>
          <w:szCs w:val="18"/>
        </w:rPr>
        <w:t xml:space="preserve">Fonte: </w:t>
      </w:r>
      <w:r>
        <w:rPr>
          <w:sz w:val="18"/>
          <w:szCs w:val="18"/>
        </w:rPr>
        <w:t xml:space="preserve"> </w:t>
      </w:r>
      <w:r w:rsidRPr="005D04FA">
        <w:rPr>
          <w:sz w:val="18"/>
          <w:szCs w:val="18"/>
        </w:rPr>
        <w:t>ISTAT</w:t>
      </w:r>
      <w:proofErr w:type="gramEnd"/>
    </w:p>
    <w:p w:rsidR="008618D0" w:rsidRDefault="00540C67" w:rsidP="00540C67">
      <w:pPr>
        <w:spacing w:line="276" w:lineRule="auto"/>
        <w:jc w:val="both"/>
      </w:pPr>
      <w:r>
        <w:lastRenderedPageBreak/>
        <w:t xml:space="preserve">Altro dato preoccupante è quello che riguarda l’età dell’allontanamento dalla fruizione di cultura. </w:t>
      </w:r>
      <w:r w:rsidRPr="00540C67">
        <w:rPr>
          <w:b/>
          <w:shd w:val="clear" w:color="auto" w:fill="FFF2CC" w:themeFill="accent4" w:themeFillTint="33"/>
        </w:rPr>
        <w:t xml:space="preserve">L’astensione, infatti, inizia a salire subito dopo la fine degli studi </w:t>
      </w:r>
      <w:r w:rsidRPr="00540C67">
        <w:rPr>
          <w:shd w:val="clear" w:color="auto" w:fill="FFF2CC" w:themeFill="accent4" w:themeFillTint="33"/>
        </w:rPr>
        <w:t xml:space="preserve">superiori e universitari. </w:t>
      </w:r>
      <w:r w:rsidRPr="00540C67">
        <w:rPr>
          <w:b/>
          <w:shd w:val="clear" w:color="auto" w:fill="FFF2CC" w:themeFill="accent4" w:themeFillTint="33"/>
        </w:rPr>
        <w:t>Subito dopo i 25 anni</w:t>
      </w:r>
      <w:r w:rsidRPr="00540C67">
        <w:rPr>
          <w:shd w:val="clear" w:color="auto" w:fill="FFF2CC" w:themeFill="accent4" w:themeFillTint="33"/>
        </w:rPr>
        <w:t xml:space="preserve"> (fascia di età 25-34) </w:t>
      </w:r>
      <w:r w:rsidRPr="00540C67">
        <w:rPr>
          <w:b/>
          <w:shd w:val="clear" w:color="auto" w:fill="FFF2CC" w:themeFill="accent4" w:themeFillTint="33"/>
        </w:rPr>
        <w:t>si passa ad un’astensione complessiva del 12,6%, con un balzo che raddoppia il 5,7% della fascia di età precedente</w:t>
      </w:r>
      <w:r w:rsidRPr="00540C67">
        <w:rPr>
          <w:shd w:val="clear" w:color="auto" w:fill="FFF2CC" w:themeFill="accent4" w:themeFillTint="33"/>
        </w:rPr>
        <w:t>.</w:t>
      </w:r>
      <w:r>
        <w:t xml:space="preserve"> Percentuale che è destinata a salire in progressione nelle fasce di età successive, fino a superare il 46% tra gli ultra settantacinquenni.</w:t>
      </w: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60"/>
        <w:gridCol w:w="1140"/>
        <w:gridCol w:w="1480"/>
      </w:tblGrid>
      <w:tr w:rsidR="008618D0" w:rsidRPr="008618D0" w:rsidTr="008618D0">
        <w:trPr>
          <w:trHeight w:val="20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 xml:space="preserve">L'astensione complessiva per fasce di età e sesso </w:t>
            </w:r>
          </w:p>
        </w:tc>
      </w:tr>
      <w:tr w:rsidR="008618D0" w:rsidRPr="008618D0" w:rsidTr="008618D0">
        <w:trPr>
          <w:trHeight w:val="20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Anno 2014, per 100 persone della stessa classe di età, sesso e zona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CLASSI DI ETA'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Astensione complessiva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Times New Roman"/>
                <w:sz w:val="18"/>
                <w:szCs w:val="18"/>
                <w:lang w:eastAsia="it-IT"/>
              </w:rPr>
              <w:t>MASCHI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Times New Roman"/>
                <w:sz w:val="18"/>
                <w:szCs w:val="18"/>
                <w:lang w:eastAsia="it-IT"/>
              </w:rPr>
              <w:t>FEMMINE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Times New Roman"/>
                <w:sz w:val="18"/>
                <w:szCs w:val="18"/>
                <w:lang w:eastAsia="it-IT"/>
              </w:rPr>
              <w:t>TOTALE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6-10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13,4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14,6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14,0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11-14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8,5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15-17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6,9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5,9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18-19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4,6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20-24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5,7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25-34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11,8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13,4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12,6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35-44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16,0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14,6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45-54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17,1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 xml:space="preserve">55-59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16,4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21,8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19,1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60-64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16,4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25,8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21,2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65-74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21,6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33,1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27,7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75 e oltre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35,7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53,4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sz w:val="18"/>
                <w:szCs w:val="18"/>
                <w:lang w:eastAsia="it-IT"/>
              </w:rPr>
              <w:t>46,5</w:t>
            </w:r>
          </w:p>
        </w:tc>
      </w:tr>
      <w:tr w:rsidR="008618D0" w:rsidRPr="008618D0" w:rsidTr="00540C67">
        <w:trPr>
          <w:trHeight w:val="283"/>
          <w:jc w:val="center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22,4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8D0" w:rsidRPr="008618D0" w:rsidRDefault="008618D0" w:rsidP="008618D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618D0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19,3</w:t>
            </w:r>
          </w:p>
        </w:tc>
      </w:tr>
    </w:tbl>
    <w:p w:rsidR="00FD55DB" w:rsidRPr="005D04FA" w:rsidRDefault="00FD55DB" w:rsidP="00FD55DB">
      <w:pPr>
        <w:spacing w:after="0" w:line="276" w:lineRule="auto"/>
        <w:jc w:val="center"/>
        <w:rPr>
          <w:sz w:val="18"/>
          <w:szCs w:val="18"/>
        </w:rPr>
      </w:pPr>
      <w:proofErr w:type="gramStart"/>
      <w:r w:rsidRPr="005D04FA">
        <w:rPr>
          <w:sz w:val="18"/>
          <w:szCs w:val="18"/>
        </w:rPr>
        <w:t xml:space="preserve">Fonte: </w:t>
      </w:r>
      <w:r>
        <w:rPr>
          <w:sz w:val="18"/>
          <w:szCs w:val="18"/>
        </w:rPr>
        <w:t xml:space="preserve"> </w:t>
      </w:r>
      <w:r w:rsidRPr="005D04FA">
        <w:rPr>
          <w:sz w:val="18"/>
          <w:szCs w:val="18"/>
        </w:rPr>
        <w:t>ISTAT</w:t>
      </w:r>
      <w:proofErr w:type="gramEnd"/>
    </w:p>
    <w:p w:rsidR="008618D0" w:rsidRDefault="008618D0" w:rsidP="008618D0">
      <w:pPr>
        <w:spacing w:after="0" w:line="276" w:lineRule="auto"/>
        <w:jc w:val="both"/>
      </w:pPr>
    </w:p>
    <w:p w:rsidR="00913ACB" w:rsidRPr="00940C62" w:rsidRDefault="00CA1F12" w:rsidP="00940C62">
      <w:pPr>
        <w:shd w:val="clear" w:color="auto" w:fill="FFF2CC" w:themeFill="accent4" w:themeFillTint="33"/>
        <w:spacing w:after="0" w:line="276" w:lineRule="auto"/>
        <w:jc w:val="both"/>
      </w:pPr>
      <w:r>
        <w:t xml:space="preserve">Anche nelle macro-aree </w:t>
      </w:r>
      <w:r w:rsidR="00940C62">
        <w:t>territoriali</w:t>
      </w:r>
      <w:r>
        <w:t xml:space="preserve"> i valori sono </w:t>
      </w:r>
      <w:r w:rsidR="00A17B1C">
        <w:t>interessanti: a fronte di percentuali di astensione molto alta in tutto il Paese in ogni settore</w:t>
      </w:r>
      <w:r w:rsidR="00082883">
        <w:t>,</w:t>
      </w:r>
      <w:r w:rsidR="00A17B1C">
        <w:t xml:space="preserve"> si registrano delle </w:t>
      </w:r>
      <w:r w:rsidR="00A17B1C" w:rsidRPr="00940C62">
        <w:rPr>
          <w:b/>
        </w:rPr>
        <w:t xml:space="preserve">punte </w:t>
      </w:r>
      <w:r w:rsidR="00940C62" w:rsidRPr="00940C62">
        <w:rPr>
          <w:b/>
        </w:rPr>
        <w:t xml:space="preserve">che superano </w:t>
      </w:r>
      <w:r w:rsidR="00082883" w:rsidRPr="008618D0">
        <w:rPr>
          <w:b/>
          <w:u w:val="single"/>
        </w:rPr>
        <w:t>l’80% o il</w:t>
      </w:r>
      <w:r w:rsidR="00940C62" w:rsidRPr="008618D0">
        <w:rPr>
          <w:b/>
          <w:u w:val="single"/>
        </w:rPr>
        <w:t xml:space="preserve"> 90</w:t>
      </w:r>
      <w:r w:rsidR="00082883" w:rsidRPr="008618D0">
        <w:rPr>
          <w:b/>
          <w:u w:val="single"/>
        </w:rPr>
        <w:t xml:space="preserve"> </w:t>
      </w:r>
      <w:r w:rsidR="00940C62" w:rsidRPr="008618D0">
        <w:rPr>
          <w:b/>
          <w:u w:val="single"/>
        </w:rPr>
        <w:t xml:space="preserve">% di </w:t>
      </w:r>
      <w:r w:rsidR="00082883" w:rsidRPr="008618D0">
        <w:rPr>
          <w:b/>
          <w:u w:val="single"/>
        </w:rPr>
        <w:t>non fruizione</w:t>
      </w:r>
      <w:r w:rsidR="00082883">
        <w:rPr>
          <w:b/>
        </w:rPr>
        <w:t xml:space="preserve"> come nel caso dei </w:t>
      </w:r>
      <w:r w:rsidR="00940C62" w:rsidRPr="00940C62">
        <w:rPr>
          <w:b/>
        </w:rPr>
        <w:t xml:space="preserve">cittadini che </w:t>
      </w:r>
      <w:r w:rsidR="00940C62" w:rsidRPr="00082883">
        <w:rPr>
          <w:b/>
        </w:rPr>
        <w:t>non</w:t>
      </w:r>
      <w:r w:rsidR="00940C62" w:rsidRPr="00940C62">
        <w:rPr>
          <w:b/>
        </w:rPr>
        <w:t xml:space="preserve"> assistono a concerti classici </w:t>
      </w:r>
      <w:r w:rsidR="00940C62">
        <w:rPr>
          <w:b/>
        </w:rPr>
        <w:t xml:space="preserve">o che </w:t>
      </w:r>
      <w:r w:rsidR="00940C62" w:rsidRPr="00082883">
        <w:rPr>
          <w:b/>
        </w:rPr>
        <w:t>non</w:t>
      </w:r>
      <w:r w:rsidR="00940C62">
        <w:rPr>
          <w:b/>
        </w:rPr>
        <w:t xml:space="preserve"> vanno a teatro </w:t>
      </w:r>
      <w:r w:rsidR="00940C62" w:rsidRPr="00940C62">
        <w:rPr>
          <w:b/>
        </w:rPr>
        <w:t>nel Sud e nelle Isole</w:t>
      </w:r>
      <w:r w:rsidR="00940C62">
        <w:t>.</w:t>
      </w:r>
    </w:p>
    <w:p w:rsidR="00A17B1C" w:rsidRPr="00252BBE" w:rsidRDefault="00A17B1C" w:rsidP="00540C67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</w:pP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Persone di 6 anni e più che 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u w:val="single"/>
          <w:lang w:eastAsia="it-IT"/>
        </w:rPr>
        <w:t>NON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hanno fruito di spettacoli o intrattenimenti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>culturali</w:t>
      </w:r>
      <w:r w:rsidRPr="00252BBE">
        <w:rPr>
          <w:rFonts w:ascii="Calibri" w:eastAsia="Times New Roman" w:hAnsi="Calibri" w:cs="Times New Roman"/>
          <w:b/>
          <w:bCs/>
          <w:color w:val="000000"/>
          <w:sz w:val="20"/>
          <w:szCs w:val="18"/>
          <w:lang w:eastAsia="it-IT"/>
        </w:rPr>
        <w:t xml:space="preserve"> negli ultimi 12 mesi</w:t>
      </w:r>
    </w:p>
    <w:p w:rsidR="00A17B1C" w:rsidRDefault="00A17B1C" w:rsidP="00A17B1C">
      <w:pPr>
        <w:spacing w:after="0" w:line="276" w:lineRule="auto"/>
        <w:jc w:val="center"/>
        <w:rPr>
          <w:sz w:val="20"/>
        </w:rPr>
      </w:pPr>
      <w:r>
        <w:rPr>
          <w:sz w:val="20"/>
        </w:rPr>
        <w:t xml:space="preserve">Anno 2014. </w:t>
      </w:r>
      <w:r w:rsidRPr="00252BBE">
        <w:rPr>
          <w:sz w:val="20"/>
        </w:rPr>
        <w:t>Per 100 persone della stessa classe di età, sesso e zona</w:t>
      </w:r>
    </w:p>
    <w:p w:rsidR="00A17B1C" w:rsidRDefault="00A17B1C" w:rsidP="00A17B1C">
      <w:pPr>
        <w:spacing w:after="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4E08BAD5" wp14:editId="3AC4154B">
            <wp:extent cx="3295650" cy="388620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7B1C" w:rsidRPr="005D04FA" w:rsidRDefault="00A17B1C" w:rsidP="00A17B1C">
      <w:pPr>
        <w:spacing w:after="0" w:line="276" w:lineRule="auto"/>
        <w:jc w:val="center"/>
        <w:rPr>
          <w:sz w:val="18"/>
          <w:szCs w:val="18"/>
        </w:rPr>
      </w:pPr>
      <w:r w:rsidRPr="005D04FA">
        <w:rPr>
          <w:sz w:val="18"/>
          <w:szCs w:val="18"/>
        </w:rPr>
        <w:t>Fonte: elaborazioni Federculture su dati ISTAT</w:t>
      </w:r>
    </w:p>
    <w:p w:rsidR="00A26D0B" w:rsidRPr="000937DF" w:rsidRDefault="00A26D0B" w:rsidP="00A045E5">
      <w:pPr>
        <w:pStyle w:val="Paragrafoelenco"/>
        <w:numPr>
          <w:ilvl w:val="0"/>
          <w:numId w:val="9"/>
        </w:numPr>
        <w:spacing w:before="120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Il sistema museale e le mostre</w:t>
      </w:r>
    </w:p>
    <w:p w:rsidR="009875C8" w:rsidRDefault="009875C8" w:rsidP="009875C8">
      <w:pPr>
        <w:spacing w:before="120" w:after="0" w:line="276" w:lineRule="auto"/>
        <w:jc w:val="both"/>
      </w:pPr>
      <w:r w:rsidRPr="009875C8">
        <w:t xml:space="preserve">In termini di sistema museale, </w:t>
      </w:r>
      <w:r w:rsidRPr="009875C8">
        <w:rPr>
          <w:b/>
          <w:bCs/>
        </w:rPr>
        <w:t>i dati 2014 mostrano un incremento dei visitatori nei musei statali</w:t>
      </w:r>
      <w:r w:rsidRPr="009875C8">
        <w:rPr>
          <w:bCs/>
        </w:rPr>
        <w:t xml:space="preserve">, che tornano a salire sopra i </w:t>
      </w:r>
      <w:r w:rsidRPr="009875C8">
        <w:rPr>
          <w:b/>
          <w:bCs/>
        </w:rPr>
        <w:t>40 milioni</w:t>
      </w:r>
      <w:r w:rsidRPr="009875C8">
        <w:rPr>
          <w:bCs/>
        </w:rPr>
        <w:t>,</w:t>
      </w:r>
      <w:r>
        <w:rPr>
          <w:b/>
          <w:bCs/>
        </w:rPr>
        <w:t xml:space="preserve"> </w:t>
      </w:r>
      <w:r w:rsidRPr="009875C8">
        <w:rPr>
          <w:b/>
          <w:bCs/>
        </w:rPr>
        <w:t>pari al 6% rispetto al 2013 e del 7,2% per quanto riguarda gli introiti</w:t>
      </w:r>
      <w:r w:rsidRPr="009875C8">
        <w:t xml:space="preserve">. </w:t>
      </w:r>
    </w:p>
    <w:p w:rsidR="004B2F74" w:rsidRPr="009875C8" w:rsidRDefault="004B2F74" w:rsidP="004B2F74">
      <w:pPr>
        <w:spacing w:before="240" w:after="0" w:line="276" w:lineRule="auto"/>
        <w:jc w:val="center"/>
        <w:rPr>
          <w:b/>
          <w:sz w:val="20"/>
          <w:szCs w:val="20"/>
        </w:rPr>
      </w:pPr>
      <w:r w:rsidRPr="009875C8">
        <w:rPr>
          <w:b/>
          <w:sz w:val="20"/>
          <w:szCs w:val="20"/>
        </w:rPr>
        <w:t xml:space="preserve">Visitatori dei siti culturali statali – </w:t>
      </w:r>
      <w:r w:rsidRPr="009875C8">
        <w:rPr>
          <w:sz w:val="20"/>
          <w:szCs w:val="20"/>
        </w:rPr>
        <w:t>serie storica 1996/201</w:t>
      </w:r>
      <w:r w:rsidR="009875C8" w:rsidRPr="009875C8">
        <w:rPr>
          <w:sz w:val="20"/>
          <w:szCs w:val="20"/>
        </w:rPr>
        <w:t>4</w:t>
      </w:r>
    </w:p>
    <w:p w:rsidR="004B2F74" w:rsidRPr="004C5D54" w:rsidRDefault="009875C8" w:rsidP="004B2F74">
      <w:pPr>
        <w:spacing w:after="0" w:line="276" w:lineRule="auto"/>
        <w:jc w:val="both"/>
        <w:rPr>
          <w:b/>
          <w:highlight w:val="yellow"/>
        </w:rPr>
      </w:pPr>
      <w:r>
        <w:rPr>
          <w:noProof/>
          <w:lang w:eastAsia="it-IT"/>
        </w:rPr>
        <w:drawing>
          <wp:inline distT="0" distB="0" distL="0" distR="0" wp14:anchorId="7DFD4C5D" wp14:editId="1D8CB70E">
            <wp:extent cx="6336030" cy="2046605"/>
            <wp:effectExtent l="0" t="0" r="7620" b="1079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F74" w:rsidRPr="009875C8" w:rsidRDefault="004B2F74" w:rsidP="004B2F74">
      <w:pPr>
        <w:spacing w:after="0" w:line="276" w:lineRule="auto"/>
        <w:rPr>
          <w:sz w:val="18"/>
          <w:szCs w:val="18"/>
        </w:rPr>
      </w:pPr>
      <w:r w:rsidRPr="009875C8">
        <w:rPr>
          <w:sz w:val="18"/>
          <w:szCs w:val="18"/>
        </w:rPr>
        <w:t xml:space="preserve">Fonte: elaborazioni Federculture su dati </w:t>
      </w:r>
      <w:proofErr w:type="spellStart"/>
      <w:r w:rsidRPr="009875C8">
        <w:rPr>
          <w:sz w:val="18"/>
          <w:szCs w:val="18"/>
        </w:rPr>
        <w:t>MiBACT</w:t>
      </w:r>
      <w:proofErr w:type="spellEnd"/>
    </w:p>
    <w:p w:rsidR="004B2F74" w:rsidRPr="00C27F13" w:rsidRDefault="009875C8" w:rsidP="009875C8">
      <w:pPr>
        <w:spacing w:before="360" w:after="0" w:line="276" w:lineRule="auto"/>
        <w:jc w:val="both"/>
      </w:pPr>
      <w:r>
        <w:t xml:space="preserve">Anche i </w:t>
      </w:r>
      <w:r w:rsidR="004B2F74" w:rsidRPr="009875C8">
        <w:rPr>
          <w:b/>
        </w:rPr>
        <w:t>musei civici</w:t>
      </w:r>
      <w:r w:rsidR="004B2F74" w:rsidRPr="009875C8">
        <w:t xml:space="preserve"> </w:t>
      </w:r>
      <w:r>
        <w:t xml:space="preserve">delle principali città d’arte italiane nel 2014 recuperano rispetto alle flessioni registrate nell’anno precedente che riguardavano </w:t>
      </w:r>
      <w:r w:rsidR="00C27F13">
        <w:t>quasi tutte le realtà</w:t>
      </w:r>
      <w:r w:rsidR="004B2F74" w:rsidRPr="009875C8">
        <w:t>.</w:t>
      </w:r>
      <w:r w:rsidR="00C27F13">
        <w:t xml:space="preserve"> A parte Venezia e Milano, dove i valori sono i calo, i sistemi museali cittadini vedono incrementare i propri visitatori, anche significativamente, come accade a </w:t>
      </w:r>
      <w:r w:rsidR="00C27F13" w:rsidRPr="00C27F13">
        <w:rPr>
          <w:b/>
        </w:rPr>
        <w:t>Firenze +11,5%</w:t>
      </w:r>
      <w:r w:rsidR="00C27F13">
        <w:t xml:space="preserve">, </w:t>
      </w:r>
      <w:r w:rsidR="00C27F13" w:rsidRPr="00C27F13">
        <w:rPr>
          <w:b/>
        </w:rPr>
        <w:t>Palermo +12,5%</w:t>
      </w:r>
      <w:r w:rsidR="00C27F13">
        <w:t xml:space="preserve"> e </w:t>
      </w:r>
      <w:r w:rsidR="00C27F13" w:rsidRPr="00C27F13">
        <w:rPr>
          <w:b/>
        </w:rPr>
        <w:t>Genova +8%</w:t>
      </w:r>
      <w:r w:rsidR="00C27F13">
        <w:t>.</w:t>
      </w:r>
    </w:p>
    <w:p w:rsidR="009875C8" w:rsidRDefault="009875C8" w:rsidP="009875C8">
      <w:pPr>
        <w:spacing w:after="0" w:line="276" w:lineRule="auto"/>
        <w:jc w:val="both"/>
        <w:rPr>
          <w:highlight w:val="yellow"/>
        </w:rPr>
      </w:pPr>
    </w:p>
    <w:p w:rsidR="004B2F74" w:rsidRPr="009875C8" w:rsidRDefault="004B2F74" w:rsidP="004B2F74">
      <w:pPr>
        <w:spacing w:after="0" w:line="276" w:lineRule="auto"/>
        <w:jc w:val="center"/>
        <w:rPr>
          <w:sz w:val="20"/>
          <w:szCs w:val="20"/>
        </w:rPr>
      </w:pPr>
      <w:r w:rsidRPr="009875C8">
        <w:rPr>
          <w:b/>
          <w:sz w:val="20"/>
          <w:szCs w:val="20"/>
        </w:rPr>
        <w:t>Visitatori dei musei civici</w:t>
      </w:r>
      <w:r w:rsidRPr="009875C8">
        <w:rPr>
          <w:sz w:val="20"/>
          <w:szCs w:val="20"/>
        </w:rPr>
        <w:t xml:space="preserve"> – </w:t>
      </w:r>
      <w:proofErr w:type="spellStart"/>
      <w:r w:rsidRPr="009875C8">
        <w:rPr>
          <w:sz w:val="20"/>
          <w:szCs w:val="20"/>
        </w:rPr>
        <w:t>Var</w:t>
      </w:r>
      <w:proofErr w:type="spellEnd"/>
      <w:r w:rsidRPr="009875C8">
        <w:rPr>
          <w:sz w:val="20"/>
          <w:szCs w:val="20"/>
        </w:rPr>
        <w:t>. 201</w:t>
      </w:r>
      <w:r w:rsidR="009875C8" w:rsidRPr="009875C8">
        <w:rPr>
          <w:sz w:val="20"/>
          <w:szCs w:val="20"/>
        </w:rPr>
        <w:t>4/2013</w:t>
      </w:r>
    </w:p>
    <w:p w:rsidR="004B2F74" w:rsidRPr="004C5D54" w:rsidRDefault="009875C8" w:rsidP="004B2F74">
      <w:pPr>
        <w:spacing w:after="0" w:line="276" w:lineRule="auto"/>
        <w:jc w:val="center"/>
        <w:rPr>
          <w:b/>
          <w:highlight w:val="yellow"/>
        </w:rPr>
      </w:pPr>
      <w:r>
        <w:rPr>
          <w:noProof/>
          <w:lang w:eastAsia="it-IT"/>
        </w:rPr>
        <w:drawing>
          <wp:inline distT="0" distB="0" distL="0" distR="0" wp14:anchorId="3CD06665" wp14:editId="5C0D1E69">
            <wp:extent cx="5638800" cy="1724025"/>
            <wp:effectExtent l="0" t="0" r="0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2F74" w:rsidRPr="009875C8" w:rsidRDefault="004B2F74" w:rsidP="00906147">
      <w:pPr>
        <w:spacing w:after="0" w:line="276" w:lineRule="auto"/>
        <w:ind w:left="567"/>
        <w:rPr>
          <w:sz w:val="18"/>
          <w:szCs w:val="18"/>
        </w:rPr>
      </w:pPr>
      <w:r w:rsidRPr="009875C8">
        <w:rPr>
          <w:sz w:val="18"/>
          <w:szCs w:val="18"/>
        </w:rPr>
        <w:t xml:space="preserve">Fonte: dati Federculture </w:t>
      </w:r>
    </w:p>
    <w:p w:rsidR="004B2F74" w:rsidRDefault="004B2F74" w:rsidP="00FD38DD">
      <w:pPr>
        <w:spacing w:after="0"/>
        <w:rPr>
          <w:b/>
          <w:sz w:val="24"/>
          <w:szCs w:val="32"/>
          <w:highlight w:val="yellow"/>
        </w:rPr>
      </w:pPr>
    </w:p>
    <w:p w:rsidR="00540C67" w:rsidRPr="004C5D54" w:rsidRDefault="00540C67" w:rsidP="00FD38DD">
      <w:pPr>
        <w:spacing w:after="0"/>
        <w:rPr>
          <w:b/>
          <w:sz w:val="24"/>
          <w:szCs w:val="32"/>
          <w:highlight w:val="yellow"/>
        </w:rPr>
      </w:pPr>
    </w:p>
    <w:p w:rsidR="00E57E03" w:rsidRDefault="00E57E03" w:rsidP="00FD38DD">
      <w:pPr>
        <w:spacing w:after="0" w:line="276" w:lineRule="auto"/>
        <w:jc w:val="both"/>
      </w:pPr>
      <w:r>
        <w:t>Pur con le debite proporzioni in termini di superficie, accessibilità, fruibilità, i</w:t>
      </w:r>
      <w:r w:rsidR="00932C00" w:rsidRPr="00E57E03">
        <w:t xml:space="preserve"> nostri musei</w:t>
      </w:r>
      <w:r w:rsidRPr="00E57E03">
        <w:t xml:space="preserve"> </w:t>
      </w:r>
      <w:r>
        <w:t>sembrano</w:t>
      </w:r>
      <w:r w:rsidR="00FB35DF">
        <w:t>, però,</w:t>
      </w:r>
      <w:r w:rsidR="00932C00" w:rsidRPr="00E57E03">
        <w:t xml:space="preserve"> avere una </w:t>
      </w:r>
      <w:r>
        <w:t>minore</w:t>
      </w:r>
      <w:r w:rsidR="00932C00" w:rsidRPr="00E57E03">
        <w:t xml:space="preserve"> capacità attrattiva </w:t>
      </w:r>
      <w:r>
        <w:t>rispetto a quelli d</w:t>
      </w:r>
      <w:r w:rsidR="00932C00" w:rsidRPr="00E57E03">
        <w:t xml:space="preserve">elle principali capitali internazionali. </w:t>
      </w:r>
    </w:p>
    <w:p w:rsidR="00932C00" w:rsidRDefault="00932C00" w:rsidP="00E57E03">
      <w:pPr>
        <w:spacing w:before="80" w:after="0" w:line="276" w:lineRule="auto"/>
        <w:jc w:val="both"/>
      </w:pPr>
      <w:r w:rsidRPr="00E57E03">
        <w:t>Lo mostrano chiaramente</w:t>
      </w:r>
      <w:r w:rsidR="00E57E03" w:rsidRPr="00E57E03">
        <w:t xml:space="preserve"> </w:t>
      </w:r>
      <w:r w:rsidRPr="00E57E03">
        <w:t xml:space="preserve">i dati relativi ai </w:t>
      </w:r>
      <w:r w:rsidRPr="00E57E03">
        <w:rPr>
          <w:b/>
        </w:rPr>
        <w:t>primi 3 musei di Londra</w:t>
      </w:r>
      <w:r w:rsidRPr="00E57E03">
        <w:t xml:space="preserve">, che hanno quasi </w:t>
      </w:r>
      <w:r w:rsidRPr="00E57E03">
        <w:rPr>
          <w:b/>
        </w:rPr>
        <w:t>19 milioni</w:t>
      </w:r>
      <w:r w:rsidR="00E57E03" w:rsidRPr="00E57E03">
        <w:rPr>
          <w:b/>
        </w:rPr>
        <w:t xml:space="preserve"> </w:t>
      </w:r>
      <w:r w:rsidRPr="00E57E03">
        <w:rPr>
          <w:b/>
        </w:rPr>
        <w:t>di visitatori in un anno</w:t>
      </w:r>
      <w:r w:rsidRPr="00E57E03">
        <w:t xml:space="preserve">, di </w:t>
      </w:r>
      <w:r w:rsidRPr="00E57E03">
        <w:rPr>
          <w:b/>
        </w:rPr>
        <w:t>Parigi (16,2 milioni di ingressi</w:t>
      </w:r>
      <w:r w:rsidRPr="00E57E03">
        <w:t xml:space="preserve">) o di </w:t>
      </w:r>
      <w:r w:rsidRPr="00E57E03">
        <w:rPr>
          <w:b/>
        </w:rPr>
        <w:t>New York</w:t>
      </w:r>
      <w:r w:rsidR="00E57E03" w:rsidRPr="00E57E03">
        <w:rPr>
          <w:b/>
        </w:rPr>
        <w:t xml:space="preserve"> </w:t>
      </w:r>
      <w:r w:rsidRPr="00E57E03">
        <w:rPr>
          <w:b/>
        </w:rPr>
        <w:t>(10 milioni di ingressi)</w:t>
      </w:r>
      <w:r w:rsidRPr="00E57E03">
        <w:t xml:space="preserve">, messi a paragone con quelli di </w:t>
      </w:r>
      <w:r w:rsidRPr="00E57E03">
        <w:rPr>
          <w:b/>
        </w:rPr>
        <w:t>Firenze</w:t>
      </w:r>
      <w:r w:rsidRPr="00E57E03">
        <w:t xml:space="preserve"> che attirano</w:t>
      </w:r>
      <w:r w:rsidR="00E57E03" w:rsidRPr="00E57E03">
        <w:t xml:space="preserve"> </w:t>
      </w:r>
      <w:r w:rsidRPr="00E57E03">
        <w:rPr>
          <w:b/>
        </w:rPr>
        <w:t>4 milioni di visitatori</w:t>
      </w:r>
      <w:r w:rsidRPr="00E57E03">
        <w:t xml:space="preserve">, o di </w:t>
      </w:r>
      <w:r w:rsidRPr="00E57E03">
        <w:rPr>
          <w:b/>
        </w:rPr>
        <w:t>Venezia</w:t>
      </w:r>
      <w:r w:rsidRPr="00E57E03">
        <w:t xml:space="preserve"> e </w:t>
      </w:r>
      <w:r w:rsidRPr="00E57E03">
        <w:rPr>
          <w:b/>
        </w:rPr>
        <w:t>Roma</w:t>
      </w:r>
      <w:r w:rsidRPr="00E57E03">
        <w:t xml:space="preserve"> che hanno ciascuna circa </w:t>
      </w:r>
      <w:r w:rsidRPr="00E57E03">
        <w:rPr>
          <w:b/>
        </w:rPr>
        <w:t>2 milioni</w:t>
      </w:r>
      <w:r w:rsidR="00E57E03" w:rsidRPr="00E57E03">
        <w:rPr>
          <w:b/>
        </w:rPr>
        <w:t xml:space="preserve"> </w:t>
      </w:r>
      <w:r w:rsidRPr="00E57E03">
        <w:rPr>
          <w:b/>
        </w:rPr>
        <w:t>di visitatori l’anno</w:t>
      </w:r>
      <w:r w:rsidRPr="00E57E03">
        <w:t>.</w:t>
      </w:r>
    </w:p>
    <w:p w:rsidR="00540C67" w:rsidRDefault="00540C67">
      <w:pPr>
        <w:rPr>
          <w:b/>
          <w:sz w:val="20"/>
        </w:rPr>
      </w:pPr>
      <w:r>
        <w:rPr>
          <w:b/>
          <w:sz w:val="20"/>
        </w:rPr>
        <w:br w:type="page"/>
      </w:r>
    </w:p>
    <w:p w:rsidR="00E57E03" w:rsidRPr="00E57E03" w:rsidRDefault="00E57E03" w:rsidP="00E57E03">
      <w:pPr>
        <w:spacing w:after="0" w:line="276" w:lineRule="auto"/>
        <w:jc w:val="center"/>
        <w:rPr>
          <w:sz w:val="20"/>
        </w:rPr>
      </w:pPr>
      <w:r w:rsidRPr="00E57E03">
        <w:rPr>
          <w:b/>
          <w:sz w:val="20"/>
        </w:rPr>
        <w:lastRenderedPageBreak/>
        <w:t>Numero totale visitatori primi 3 musei più visitati della città</w:t>
      </w:r>
      <w:r w:rsidRPr="00E57E03">
        <w:rPr>
          <w:sz w:val="20"/>
        </w:rPr>
        <w:t xml:space="preserve"> - Anno 2014</w:t>
      </w:r>
    </w:p>
    <w:p w:rsidR="00E57E03" w:rsidRDefault="001E5570" w:rsidP="00E57E03">
      <w:pPr>
        <w:spacing w:before="80" w:after="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40F7778A" wp14:editId="59017199">
            <wp:extent cx="4191000" cy="2286000"/>
            <wp:effectExtent l="0" t="0" r="0" b="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7E03" w:rsidRPr="00E57E03" w:rsidRDefault="00FD38DD" w:rsidP="00FD38DD">
      <w:pPr>
        <w:spacing w:after="0" w:line="276" w:lineRule="auto"/>
        <w:jc w:val="center"/>
      </w:pPr>
      <w:r w:rsidRPr="00FD38DD">
        <w:rPr>
          <w:sz w:val="18"/>
          <w:szCs w:val="18"/>
        </w:rPr>
        <w:t xml:space="preserve">Fonte: elaborazioni Federculture su </w:t>
      </w:r>
      <w:proofErr w:type="spellStart"/>
      <w:r w:rsidRPr="00FD38DD">
        <w:rPr>
          <w:sz w:val="18"/>
          <w:szCs w:val="18"/>
        </w:rPr>
        <w:t>dat</w:t>
      </w:r>
      <w:proofErr w:type="spellEnd"/>
      <w:r w:rsidR="00910C1F" w:rsidRPr="00910C1F">
        <w:rPr>
          <w:noProof/>
          <w:lang w:eastAsia="it-IT"/>
        </w:rPr>
        <w:t xml:space="preserve"> </w:t>
      </w:r>
      <w:r w:rsidRPr="00FD38DD">
        <w:rPr>
          <w:sz w:val="18"/>
          <w:szCs w:val="18"/>
        </w:rPr>
        <w:t>i "Il Giornale dell'Arte"</w:t>
      </w:r>
    </w:p>
    <w:p w:rsidR="004B2F74" w:rsidRDefault="00ED1D9E" w:rsidP="00FB35DF">
      <w:pPr>
        <w:spacing w:before="240" w:after="0" w:line="276" w:lineRule="auto"/>
        <w:jc w:val="both"/>
      </w:pPr>
      <w:r w:rsidRPr="00ED1D9E">
        <w:t>La stessa valutazione si può fare</w:t>
      </w:r>
      <w:r w:rsidR="00FB35DF">
        <w:t xml:space="preserve"> </w:t>
      </w:r>
      <w:r w:rsidRPr="00ED1D9E">
        <w:t>anche per le mostre d’arte</w:t>
      </w:r>
      <w:r>
        <w:t xml:space="preserve"> </w:t>
      </w:r>
      <w:r w:rsidRPr="00ED1D9E">
        <w:t xml:space="preserve">temporanee. </w:t>
      </w:r>
      <w:r w:rsidRPr="00ED1D9E">
        <w:rPr>
          <w:b/>
        </w:rPr>
        <w:t>Le principali 10 mostre realizzate nel 2014 a New York hanno visto un pubblico di circa 5 milioni di persone</w:t>
      </w:r>
      <w:r w:rsidRPr="00ED1D9E">
        <w:t xml:space="preserve">, </w:t>
      </w:r>
      <w:r w:rsidRPr="00ED1D9E">
        <w:rPr>
          <w:b/>
        </w:rPr>
        <w:t xml:space="preserve">le </w:t>
      </w:r>
      <w:r w:rsidR="00FB35DF">
        <w:rPr>
          <w:b/>
        </w:rPr>
        <w:t>esposizioni</w:t>
      </w:r>
      <w:r w:rsidRPr="00ED1D9E">
        <w:rPr>
          <w:b/>
        </w:rPr>
        <w:t xml:space="preserve"> romane di soli 714mila visitatori</w:t>
      </w:r>
      <w:r w:rsidRPr="00ED1D9E">
        <w:t>.</w:t>
      </w:r>
    </w:p>
    <w:p w:rsidR="00ED1D9E" w:rsidRDefault="00ED1D9E" w:rsidP="00ED1D9E">
      <w:pPr>
        <w:spacing w:after="0" w:line="276" w:lineRule="auto"/>
        <w:jc w:val="both"/>
      </w:pPr>
    </w:p>
    <w:tbl>
      <w:tblPr>
        <w:tblW w:w="9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3309"/>
        <w:gridCol w:w="2613"/>
        <w:gridCol w:w="1800"/>
      </w:tblGrid>
      <w:tr w:rsidR="00ED1D9E" w:rsidRPr="00ED1D9E" w:rsidTr="00ED1D9E">
        <w:trPr>
          <w:trHeight w:val="300"/>
          <w:jc w:val="center"/>
        </w:trPr>
        <w:tc>
          <w:tcPr>
            <w:tcW w:w="9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Le mostre d'arte, confronto fra capitali </w:t>
            </w:r>
            <w:r w:rsidRPr="00ED1D9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(totale visitatori prime 10 most</w:t>
            </w:r>
            <w:r w:rsidR="00B1751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r</w:t>
            </w:r>
            <w:r w:rsidRPr="00ED1D9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e della città)</w:t>
            </w:r>
          </w:p>
        </w:tc>
      </w:tr>
      <w:tr w:rsidR="00ED1D9E" w:rsidRPr="00ED1D9E" w:rsidTr="00DB1F4E">
        <w:trPr>
          <w:trHeight w:val="300"/>
          <w:jc w:val="center"/>
        </w:trPr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Londra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New York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Parigi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Roma</w:t>
            </w:r>
          </w:p>
        </w:tc>
      </w:tr>
      <w:tr w:rsidR="00ED1D9E" w:rsidRPr="00ED1D9E" w:rsidTr="00DB1F4E">
        <w:trPr>
          <w:trHeight w:val="300"/>
          <w:jc w:val="center"/>
        </w:trPr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3.065.946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4.940.921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3.079.329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D9E" w:rsidRPr="00ED1D9E" w:rsidRDefault="00ED1D9E" w:rsidP="00E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ED1D9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714.480 </w:t>
            </w:r>
          </w:p>
        </w:tc>
      </w:tr>
    </w:tbl>
    <w:p w:rsidR="00DB1F4E" w:rsidRPr="00E57E03" w:rsidRDefault="00DB1F4E" w:rsidP="00DB1F4E">
      <w:pPr>
        <w:spacing w:after="0" w:line="276" w:lineRule="auto"/>
        <w:jc w:val="center"/>
      </w:pPr>
      <w:r w:rsidRPr="00FD38DD">
        <w:rPr>
          <w:sz w:val="18"/>
          <w:szCs w:val="18"/>
        </w:rPr>
        <w:t>Fonte: elaborazioni Federculture su dati "Il Giornale dell'Arte"</w:t>
      </w:r>
    </w:p>
    <w:p w:rsidR="00ED1D9E" w:rsidRDefault="00ED1D9E" w:rsidP="00ED1D9E">
      <w:pPr>
        <w:spacing w:after="0" w:line="276" w:lineRule="auto"/>
        <w:jc w:val="both"/>
      </w:pPr>
    </w:p>
    <w:p w:rsidR="00ED1D9E" w:rsidRPr="00ED1D9E" w:rsidRDefault="00ED1D9E" w:rsidP="00ED1D9E">
      <w:pPr>
        <w:spacing w:after="0" w:line="276" w:lineRule="auto"/>
        <w:jc w:val="both"/>
      </w:pPr>
    </w:p>
    <w:p w:rsidR="004B2F74" w:rsidRDefault="00DB1F4E" w:rsidP="00DB1F4E">
      <w:pPr>
        <w:spacing w:after="0" w:line="276" w:lineRule="auto"/>
        <w:jc w:val="both"/>
      </w:pPr>
      <w:r w:rsidRPr="00DB1F4E">
        <w:t>Più in generale</w:t>
      </w:r>
      <w:r w:rsidR="00FB35DF">
        <w:t>, a livello nazionale,</w:t>
      </w:r>
      <w:r w:rsidRPr="00DB1F4E">
        <w:t xml:space="preserve"> </w:t>
      </w:r>
      <w:r>
        <w:t xml:space="preserve">le </w:t>
      </w:r>
      <w:r w:rsidRPr="00DB1F4E">
        <w:rPr>
          <w:b/>
        </w:rPr>
        <w:t>mostre d’arte</w:t>
      </w:r>
      <w:r>
        <w:t xml:space="preserve"> nel </w:t>
      </w:r>
      <w:r w:rsidRPr="00DB1F4E">
        <w:rPr>
          <w:b/>
        </w:rPr>
        <w:t>2014</w:t>
      </w:r>
      <w:r>
        <w:t xml:space="preserve"> hanno avuto un andamento positivo: </w:t>
      </w:r>
      <w:r w:rsidRPr="00DB1F4E">
        <w:rPr>
          <w:b/>
        </w:rPr>
        <w:t>le prime 10 più visitate dell’anno totalizzano 2,4 milioni di visitatori, il 13% in più di quanto avvenuto l’anno precedente</w:t>
      </w:r>
      <w:r>
        <w:t>.</w:t>
      </w:r>
    </w:p>
    <w:p w:rsidR="00DB1F4E" w:rsidRDefault="00DB1F4E" w:rsidP="00DB1F4E">
      <w:pPr>
        <w:spacing w:after="0" w:line="276" w:lineRule="auto"/>
        <w:jc w:val="both"/>
      </w:pPr>
    </w:p>
    <w:tbl>
      <w:tblPr>
        <w:tblW w:w="5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0"/>
        <w:gridCol w:w="1250"/>
        <w:gridCol w:w="62"/>
        <w:gridCol w:w="2659"/>
        <w:gridCol w:w="60"/>
        <w:gridCol w:w="1768"/>
        <w:gridCol w:w="981"/>
        <w:gridCol w:w="83"/>
        <w:gridCol w:w="1756"/>
      </w:tblGrid>
      <w:tr w:rsidR="00DB1F4E" w:rsidRPr="00DB1F4E" w:rsidTr="00401AAB">
        <w:trPr>
          <w:trHeight w:val="300"/>
        </w:trPr>
        <w:tc>
          <w:tcPr>
            <w:tcW w:w="498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Le mostre italiane con biglietto dedicato più visitate del 2014 </w:t>
            </w:r>
            <w:r w:rsidRPr="00DB1F4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(per vis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</w:t>
            </w:r>
            <w:r w:rsidRPr="00DB1F4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tatori giornalieri)</w:t>
            </w:r>
          </w:p>
        </w:tc>
      </w:tr>
      <w:tr w:rsidR="0068705C" w:rsidRPr="00DB1F4E" w:rsidTr="00401AAB">
        <w:trPr>
          <w:trHeight w:val="381"/>
        </w:trPr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Visitatori al giorno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Visitatori totali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 della mostra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Date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3.202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342.626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La ragazza con l'orecchino di perla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Fava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8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feb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- 25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mag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‘14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2.531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349.218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Chagall. Una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retrospetiva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1908-1985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Reale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17 </w:t>
            </w:r>
            <w:proofErr w:type="gram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set.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’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- 1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feb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2.291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91.632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Raffaello. Madonna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Esterhazy</w:t>
            </w:r>
            <w:proofErr w:type="spellEnd"/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Marino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3 </w:t>
            </w:r>
            <w:proofErr w:type="spellStart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dic</w:t>
            </w:r>
            <w:proofErr w:type="spellEnd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14 - 11 gen.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2.257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250.491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Renoir. Dal D'Orsay e dall'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Orangerie</w:t>
            </w:r>
            <w:proofErr w:type="spellEnd"/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Gam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23 </w:t>
            </w:r>
            <w:proofErr w:type="spellStart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ott</w:t>
            </w:r>
            <w:proofErr w:type="spellEnd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‘1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3 - 23 </w:t>
            </w:r>
            <w:proofErr w:type="spellStart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feb</w:t>
            </w:r>
            <w:proofErr w:type="spellEnd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2.214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194.861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Segantini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Reale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18 set.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14 - 18 gen.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2.160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155.520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Verso Monet. Storia del paesaggi dal 600 al 900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Basilica Palladiana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22 </w:t>
            </w:r>
            <w:proofErr w:type="spellStart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feb</w:t>
            </w:r>
            <w:proofErr w:type="spellEnd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- 4 </w:t>
            </w:r>
            <w:proofErr w:type="spellStart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mag</w:t>
            </w:r>
            <w:proofErr w:type="spellEnd"/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2.021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250.593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Klimt. Alle origini di un mito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Reale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12 mar. - 13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lug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 ‘</w:t>
            </w:r>
            <w:r w:rsidRP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2.012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332.025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Frida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Kahlo</w:t>
            </w:r>
            <w:proofErr w:type="spellEnd"/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Scuderie del Qu</w:t>
            </w:r>
            <w:r w:rsidR="0068705C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rinale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C94777" w:rsidP="00C94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C94777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20 mar. - 31 ago.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‘</w:t>
            </w:r>
            <w:r w:rsidRPr="00C94777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1.994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211.315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Verso Monet. Storia del paesaggi dal 600 al 900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della Gran Guardia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26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ott</w:t>
            </w:r>
            <w:proofErr w:type="spellEnd"/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‘1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–</w:t>
            </w:r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9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feb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 14</w:t>
            </w:r>
          </w:p>
        </w:tc>
      </w:tr>
      <w:tr w:rsidR="0068705C" w:rsidRPr="00DB1F4E" w:rsidTr="00401AAB">
        <w:trPr>
          <w:trHeight w:val="283"/>
        </w:trPr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1.661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401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219.587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Kandinsky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coll</w:t>
            </w:r>
            <w:proofErr w:type="spellEnd"/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 Centre Pompidou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Palazzo Reale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DB1F4E" w:rsidP="00DB1F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1F4E" w:rsidRPr="00DB1F4E" w:rsidRDefault="0068705C" w:rsidP="006870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17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dic</w:t>
            </w:r>
            <w:proofErr w:type="spellEnd"/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. 13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–</w:t>
            </w:r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mag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="00DB1F4E" w:rsidRP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="00DB1F4E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‘14</w:t>
            </w:r>
          </w:p>
        </w:tc>
      </w:tr>
    </w:tbl>
    <w:p w:rsidR="00DB1F4E" w:rsidRPr="00E57E03" w:rsidRDefault="00DB1F4E" w:rsidP="00DB1F4E">
      <w:pPr>
        <w:spacing w:after="0" w:line="276" w:lineRule="auto"/>
      </w:pPr>
      <w:r w:rsidRPr="00FD38DD">
        <w:rPr>
          <w:sz w:val="18"/>
          <w:szCs w:val="18"/>
        </w:rPr>
        <w:t>Fonte: elaborazioni Federculture su dati "Il Giornale dell'Arte"</w:t>
      </w:r>
    </w:p>
    <w:p w:rsidR="00DB1F4E" w:rsidRDefault="00DB1F4E" w:rsidP="00DB1F4E">
      <w:pPr>
        <w:spacing w:after="0" w:line="276" w:lineRule="auto"/>
      </w:pPr>
    </w:p>
    <w:p w:rsidR="004B2F74" w:rsidRDefault="004B2F74" w:rsidP="00361417">
      <w:pPr>
        <w:spacing w:after="0"/>
        <w:rPr>
          <w:b/>
          <w:sz w:val="32"/>
          <w:szCs w:val="32"/>
          <w:highlight w:val="yellow"/>
        </w:rPr>
      </w:pPr>
    </w:p>
    <w:p w:rsidR="00540C67" w:rsidRDefault="00540C67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br w:type="page"/>
      </w:r>
    </w:p>
    <w:p w:rsidR="00455266" w:rsidRPr="00DB1F4E" w:rsidRDefault="00455266" w:rsidP="00DB1F4E">
      <w:pPr>
        <w:pStyle w:val="Paragrafoelenco"/>
        <w:numPr>
          <w:ilvl w:val="0"/>
          <w:numId w:val="9"/>
        </w:numPr>
        <w:rPr>
          <w:b/>
          <w:sz w:val="28"/>
          <w:szCs w:val="32"/>
        </w:rPr>
      </w:pPr>
      <w:r w:rsidRPr="00DB1F4E">
        <w:rPr>
          <w:b/>
          <w:sz w:val="28"/>
          <w:szCs w:val="32"/>
        </w:rPr>
        <w:lastRenderedPageBreak/>
        <w:t>Il finanziamento pubblico</w:t>
      </w:r>
      <w:r w:rsidR="00944F4A" w:rsidRPr="00DB1F4E">
        <w:rPr>
          <w:b/>
          <w:sz w:val="28"/>
          <w:szCs w:val="32"/>
        </w:rPr>
        <w:t xml:space="preserve"> alla cultura</w:t>
      </w:r>
    </w:p>
    <w:p w:rsidR="00C42AE5" w:rsidRDefault="00C42AE5" w:rsidP="00C42AE5">
      <w:pPr>
        <w:spacing w:before="120" w:after="0" w:line="276" w:lineRule="auto"/>
        <w:jc w:val="both"/>
      </w:pPr>
      <w:r w:rsidRPr="00C42AE5">
        <w:t xml:space="preserve">Il bilancio del </w:t>
      </w:r>
      <w:proofErr w:type="spellStart"/>
      <w:r w:rsidRPr="00C42AE5">
        <w:rPr>
          <w:b/>
          <w:bCs/>
        </w:rPr>
        <w:t>MiBACT</w:t>
      </w:r>
      <w:proofErr w:type="spellEnd"/>
      <w:r>
        <w:rPr>
          <w:b/>
          <w:bCs/>
        </w:rPr>
        <w:t xml:space="preserve"> </w:t>
      </w:r>
      <w:r w:rsidRPr="00C42AE5">
        <w:t xml:space="preserve">appare ormai stabilizzato. Nella </w:t>
      </w:r>
      <w:r w:rsidRPr="00C42AE5">
        <w:rPr>
          <w:b/>
        </w:rPr>
        <w:t>programmazione finanziaria 2015-2017</w:t>
      </w:r>
      <w:r w:rsidRPr="00C42AE5">
        <w:t xml:space="preserve"> è previsto un lieve incremento delle risorse</w:t>
      </w:r>
      <w:r>
        <w:t xml:space="preserve"> </w:t>
      </w:r>
      <w:r w:rsidRPr="00C42AE5">
        <w:t xml:space="preserve">finanziarie destinate all’investimento in cultura, con un </w:t>
      </w:r>
      <w:r w:rsidRPr="00C42AE5">
        <w:rPr>
          <w:b/>
        </w:rPr>
        <w:t>aumento del 3% in tre anni</w:t>
      </w:r>
      <w:r w:rsidRPr="00C42AE5">
        <w:t xml:space="preserve">. Si passerà da euro </w:t>
      </w:r>
      <w:r w:rsidRPr="00C42AE5">
        <w:rPr>
          <w:b/>
        </w:rPr>
        <w:t>1.563.128.722</w:t>
      </w:r>
      <w:r w:rsidRPr="00C42AE5">
        <w:t xml:space="preserve"> del </w:t>
      </w:r>
      <w:r w:rsidRPr="00C42AE5">
        <w:rPr>
          <w:b/>
        </w:rPr>
        <w:t>2015</w:t>
      </w:r>
      <w:r w:rsidRPr="00C42AE5">
        <w:t xml:space="preserve"> a euro 1.610.197.535 nel</w:t>
      </w:r>
      <w:r>
        <w:t xml:space="preserve"> </w:t>
      </w:r>
      <w:r w:rsidRPr="00C42AE5">
        <w:t xml:space="preserve">2016. </w:t>
      </w:r>
    </w:p>
    <w:p w:rsidR="00C42AE5" w:rsidRDefault="00C42AE5" w:rsidP="00C42AE5">
      <w:pPr>
        <w:spacing w:before="80" w:after="0" w:line="276" w:lineRule="auto"/>
        <w:jc w:val="both"/>
      </w:pPr>
      <w:r w:rsidRPr="00C42AE5">
        <w:t>L’entità comunque esigua delle risorse statali per il settore è testimoniata,</w:t>
      </w:r>
      <w:r>
        <w:t xml:space="preserve"> </w:t>
      </w:r>
      <w:r w:rsidRPr="00C42AE5">
        <w:t xml:space="preserve">però, dal loro valore relativo: lo </w:t>
      </w:r>
      <w:r w:rsidRPr="00C42AE5">
        <w:rPr>
          <w:b/>
        </w:rPr>
        <w:t>0,13%</w:t>
      </w:r>
      <w:r w:rsidRPr="00C42AE5">
        <w:t xml:space="preserve"> rispetto al PIL e lo </w:t>
      </w:r>
      <w:r w:rsidRPr="00C42AE5">
        <w:rPr>
          <w:b/>
        </w:rPr>
        <w:t>0,19%</w:t>
      </w:r>
      <w:r w:rsidRPr="00C42AE5">
        <w:t xml:space="preserve"> del bilancio</w:t>
      </w:r>
      <w:r>
        <w:t xml:space="preserve"> </w:t>
      </w:r>
      <w:r w:rsidRPr="00C42AE5">
        <w:t xml:space="preserve">dello Stato. </w:t>
      </w:r>
    </w:p>
    <w:p w:rsidR="00C42AE5" w:rsidRPr="00C42AE5" w:rsidRDefault="00C42AE5" w:rsidP="00C42AE5">
      <w:pPr>
        <w:spacing w:before="80" w:after="0" w:line="276" w:lineRule="auto"/>
        <w:jc w:val="both"/>
      </w:pPr>
      <w:r w:rsidRPr="00C42AE5">
        <w:t xml:space="preserve">Anche il </w:t>
      </w:r>
      <w:r w:rsidRPr="00C42AE5">
        <w:rPr>
          <w:b/>
          <w:bCs/>
        </w:rPr>
        <w:t xml:space="preserve">FUS </w:t>
      </w:r>
      <w:r w:rsidRPr="00C42AE5">
        <w:t xml:space="preserve">è </w:t>
      </w:r>
      <w:r w:rsidR="00030DBD">
        <w:t>invariato</w:t>
      </w:r>
      <w:r w:rsidRPr="00C42AE5">
        <w:t xml:space="preserve"> rispetto al </w:t>
      </w:r>
      <w:r w:rsidRPr="00C42AE5">
        <w:rPr>
          <w:b/>
        </w:rPr>
        <w:t>2014</w:t>
      </w:r>
      <w:r w:rsidRPr="00C42AE5">
        <w:t xml:space="preserve">: a euro </w:t>
      </w:r>
      <w:r w:rsidRPr="00C42AE5">
        <w:rPr>
          <w:b/>
        </w:rPr>
        <w:t>406.229.000,00</w:t>
      </w:r>
      <w:r w:rsidRPr="00C42AE5">
        <w:t>.</w:t>
      </w:r>
    </w:p>
    <w:p w:rsidR="00331C30" w:rsidRPr="00C42AE5" w:rsidRDefault="00331C30" w:rsidP="00C42AE5">
      <w:pPr>
        <w:spacing w:before="120" w:after="0" w:line="276" w:lineRule="auto"/>
        <w:jc w:val="center"/>
        <w:rPr>
          <w:sz w:val="20"/>
        </w:rPr>
      </w:pPr>
      <w:r w:rsidRPr="00C42AE5">
        <w:rPr>
          <w:b/>
          <w:sz w:val="20"/>
        </w:rPr>
        <w:t xml:space="preserve">Il bilancio del </w:t>
      </w:r>
      <w:proofErr w:type="spellStart"/>
      <w:r w:rsidRPr="00C42AE5">
        <w:rPr>
          <w:b/>
          <w:sz w:val="20"/>
        </w:rPr>
        <w:t>MiBACT</w:t>
      </w:r>
      <w:proofErr w:type="spellEnd"/>
      <w:r w:rsidRPr="00C42AE5">
        <w:rPr>
          <w:sz w:val="20"/>
        </w:rPr>
        <w:t xml:space="preserve"> (milioni di euro)</w:t>
      </w:r>
    </w:p>
    <w:p w:rsidR="00331C30" w:rsidRPr="004C5D54" w:rsidRDefault="00C42AE5" w:rsidP="007276B1">
      <w:pPr>
        <w:spacing w:after="0" w:line="276" w:lineRule="auto"/>
        <w:jc w:val="center"/>
        <w:rPr>
          <w:highlight w:val="yellow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F4CDC" wp14:editId="47C467B1">
                <wp:simplePos x="0" y="0"/>
                <wp:positionH relativeFrom="column">
                  <wp:posOffset>4762500</wp:posOffset>
                </wp:positionH>
                <wp:positionV relativeFrom="paragraph">
                  <wp:posOffset>147955</wp:posOffset>
                </wp:positionV>
                <wp:extent cx="1231952" cy="468938"/>
                <wp:effectExtent l="0" t="0" r="25400" b="26670"/>
                <wp:wrapNone/>
                <wp:docPr id="17" name="CasellaDi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52" cy="4689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5DB" w:rsidRPr="00C42AE5" w:rsidRDefault="00FD55DB" w:rsidP="00C42A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C42AE5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Var</w:t>
                            </w:r>
                            <w:proofErr w:type="spellEnd"/>
                            <w:r w:rsidRPr="00C42AE5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.% 2015/2000</w:t>
                            </w:r>
                          </w:p>
                          <w:p w:rsidR="00FD55DB" w:rsidRPr="00C42AE5" w:rsidRDefault="00FD55DB" w:rsidP="00C42A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42AE5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-26%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CCF4CDC" id="_x0000_t202" coordsize="21600,21600" o:spt="202" path="m,l,21600r21600,l21600,xe">
                <v:stroke joinstyle="miter"/>
                <v:path gradientshapeok="t" o:connecttype="rect"/>
              </v:shapetype>
              <v:shape id="CasellaDiTesto 2" o:spid="_x0000_s1026" type="#_x0000_t202" style="position:absolute;left:0;text-align:left;margin-left:375pt;margin-top:11.65pt;width:97pt;height:3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zaPwIAADQFAAAOAAAAZHJzL2Uyb0RvYy54bWy0VM1uEzEQviPxDpbvZJOUljTKphKJygUo&#10;ouUBHO84sbA9xnazG56esTfZknIqgot3PZ7f75uZxU1nDdtDiBpdzSejMWfgJDbabWv+7eH2zYyz&#10;mIRrhEEHNT9A5DfL168WrZ/DFHdoGgiMnLg4b33Ndyn5eVVFuQMr4gg9OHpUGKxIdA3bqgmiJe/W&#10;VNPx+KpqMTQ+oIQYSbruH/my+FcKZLpTKkJipuaUWypnKOcmn9VyIebbIPxOy2Ma4i+ysEI7Cjq4&#10;Wosk2GPQf7iyWgaMqNJIoq1QKS2h1EDVTMbPqrnfCQ+lFgIn+gGm+O/cys/7L4Hphrh7x5kTljha&#10;iQjGiLV+gJiQTTNIrY9z0r33pJ2699iRwUkeSZhr71Sw+UtVMXonuA8DxNAlJrPR9GJyfTnlTNLb&#10;26vZ9cUsu6merH2I6QOgZfmn5oEoLMiK/ceYetWTSg4W0ejmVhtTLrltYGUC2wsiXEgJLk2KuXm0&#10;n7Dp5dQ44yP1JKYG6cWzk5iyKQ2YPZXczoIYx9qaUxGXVIX1BF102xLjTG3w8P9yoTyNowQzOT0J&#10;5S8dDGQ0jPsKirgtXPTwhO0mo9MPAE0ocXQag+KMDLKiIjxfaHs0ydZQ5u6F9oNRiY8uDfZWOww9&#10;vuf0Nt9LC1Liqtc/QdEDkLFI3aY7du8GmwM1L+2qdEeHMkgsSqM9ZzsMP5/LWtoJxOyPRxGAs5DM&#10;CvsVIpwk/Zqn0rc5CI1m6ZLjGsmz//u9ZPW07Ja/AAAA//8DAFBLAwQUAAYACAAAACEAfjyr+d4A&#10;AAAJAQAADwAAAGRycy9kb3ducmV2LnhtbEyPQW+DMAyF75P2HyJP2m0NhRY2SqimqdXOayv1GogL&#10;qMRBJLTs3887bTfb7+n5e8V2tr244eg7RwqWiwgEUu1MR42C03H/8grCB01G945QwTd62JaPD4XO&#10;jbvTF94OoREcQj7XCtoQhlxKX7dotV+4AYm1ixutDryOjTSjvnO47WUcRam0uiP+0OoBP1qsr4fJ&#10;KjgnWain47Vau30z+12cfu7OqVLPT/P7BkTAOfyZ4Ref0aFkpspNZLzoFWTriLsEBXGSgGDD22rF&#10;h4qHbAmyLOT/BuUPAAAA//8DAFBLAQItABQABgAIAAAAIQC2gziS/gAAAOEBAAATAAAAAAAAAAAA&#10;AAAAAAAAAABbQ29udGVudF9UeXBlc10ueG1sUEsBAi0AFAAGAAgAAAAhADj9If/WAAAAlAEAAAsA&#10;AAAAAAAAAAAAAAAALwEAAF9yZWxzLy5yZWxzUEsBAi0AFAAGAAgAAAAhAC6gzNo/AgAANAUAAA4A&#10;AAAAAAAAAAAAAAAALgIAAGRycy9lMm9Eb2MueG1sUEsBAi0AFAAGAAgAAAAhAH48q/neAAAACQEA&#10;AA8AAAAAAAAAAAAAAAAAmQQAAGRycy9kb3ducmV2LnhtbFBLBQYAAAAABAAEAPMAAACkBQAAAAA=&#10;" fillcolor="#deeaf6 [660]" strokecolor="#deeaf6 [660]">
                <v:textbox>
                  <w:txbxContent>
                    <w:p w:rsidR="00FD55DB" w:rsidRPr="00C42AE5" w:rsidRDefault="00FD55DB" w:rsidP="00C42A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spellStart"/>
                      <w:r w:rsidRPr="00C42AE5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sz w:val="20"/>
                          <w:szCs w:val="18"/>
                        </w:rPr>
                        <w:t>Var</w:t>
                      </w:r>
                      <w:proofErr w:type="spellEnd"/>
                      <w:r w:rsidRPr="00C42AE5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sz w:val="20"/>
                          <w:szCs w:val="18"/>
                        </w:rPr>
                        <w:t>.% 2015/2000</w:t>
                      </w:r>
                    </w:p>
                    <w:p w:rsidR="00FD55DB" w:rsidRPr="00C42AE5" w:rsidRDefault="00FD55DB" w:rsidP="00C42A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C42AE5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sz w:val="20"/>
                          <w:szCs w:val="18"/>
                        </w:rPr>
                        <w:t>-26%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4CACDFC" wp14:editId="034D30D7">
            <wp:extent cx="5829300" cy="2352675"/>
            <wp:effectExtent l="0" t="0" r="0" b="9525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7EDC" w:rsidRPr="00C42AE5" w:rsidRDefault="00331C30" w:rsidP="00331C30">
      <w:pPr>
        <w:spacing w:after="0" w:line="276" w:lineRule="auto"/>
        <w:ind w:firstLine="284"/>
        <w:rPr>
          <w:sz w:val="18"/>
        </w:rPr>
      </w:pPr>
      <w:r w:rsidRPr="00C42AE5">
        <w:rPr>
          <w:sz w:val="18"/>
        </w:rPr>
        <w:t xml:space="preserve">Fonte: elaborazioni Federculture su dati </w:t>
      </w:r>
      <w:proofErr w:type="spellStart"/>
      <w:r w:rsidRPr="00C42AE5">
        <w:rPr>
          <w:sz w:val="18"/>
        </w:rPr>
        <w:t>MiBACT</w:t>
      </w:r>
      <w:proofErr w:type="spellEnd"/>
      <w:r w:rsidRPr="00C42AE5">
        <w:rPr>
          <w:sz w:val="18"/>
        </w:rPr>
        <w:t>, Ragioneria Generale dello Stato</w:t>
      </w:r>
    </w:p>
    <w:p w:rsidR="004121A3" w:rsidRPr="004C5D54" w:rsidRDefault="004121A3" w:rsidP="007276B1">
      <w:pPr>
        <w:spacing w:before="120" w:after="0" w:line="276" w:lineRule="auto"/>
        <w:jc w:val="both"/>
        <w:rPr>
          <w:highlight w:val="yellow"/>
        </w:rPr>
      </w:pPr>
    </w:p>
    <w:p w:rsidR="00C42AE5" w:rsidRDefault="00C42AE5" w:rsidP="00C42AE5">
      <w:pPr>
        <w:spacing w:before="120" w:after="0" w:line="276" w:lineRule="auto"/>
        <w:jc w:val="both"/>
      </w:pPr>
      <w:r w:rsidRPr="00C42AE5">
        <w:t xml:space="preserve">Sono invece in caduta libera le risorse derivanti dal </w:t>
      </w:r>
      <w:r w:rsidRPr="00C42AE5">
        <w:rPr>
          <w:b/>
          <w:bCs/>
        </w:rPr>
        <w:t>Gioco del Lotto</w:t>
      </w:r>
      <w:r w:rsidRPr="00C42AE5">
        <w:t xml:space="preserve">: </w:t>
      </w:r>
      <w:r w:rsidRPr="00C42AE5">
        <w:rPr>
          <w:b/>
        </w:rPr>
        <w:t>tra il 2004 e il 2014</w:t>
      </w:r>
      <w:r w:rsidRPr="00C42AE5">
        <w:t xml:space="preserve">, in particolare, </w:t>
      </w:r>
      <w:r w:rsidRPr="00C42AE5">
        <w:rPr>
          <w:b/>
        </w:rPr>
        <w:t>gli importi si sono ridotti dell’83%, da 134 a 22 milioni di euro</w:t>
      </w:r>
      <w:r w:rsidRPr="00C42AE5">
        <w:t>. Il vero e proprio crollo degli stanziamenti si è registrato</w:t>
      </w:r>
      <w:r>
        <w:t xml:space="preserve"> </w:t>
      </w:r>
      <w:r w:rsidRPr="00C42AE5">
        <w:t>dal 2012 al 2013: solo in quell’arco di tempo in effetti si segnala una caduta</w:t>
      </w:r>
      <w:r>
        <w:t xml:space="preserve"> </w:t>
      </w:r>
      <w:r w:rsidRPr="00C42AE5">
        <w:t>del 35%.</w:t>
      </w:r>
    </w:p>
    <w:p w:rsidR="00E52254" w:rsidRPr="00C42AE5" w:rsidRDefault="00E52254" w:rsidP="00E52254">
      <w:pPr>
        <w:spacing w:after="0" w:line="276" w:lineRule="auto"/>
        <w:jc w:val="both"/>
      </w:pPr>
    </w:p>
    <w:p w:rsidR="00C42AE5" w:rsidRPr="00E029DA" w:rsidRDefault="00E029DA" w:rsidP="00E52254">
      <w:pPr>
        <w:spacing w:after="0" w:line="276" w:lineRule="auto"/>
        <w:jc w:val="center"/>
        <w:rPr>
          <w:b/>
          <w:sz w:val="20"/>
        </w:rPr>
      </w:pPr>
      <w:r w:rsidRPr="00E029DA">
        <w:rPr>
          <w:b/>
          <w:sz w:val="20"/>
        </w:rPr>
        <w:t xml:space="preserve">Fondi </w:t>
      </w:r>
      <w:r>
        <w:rPr>
          <w:b/>
          <w:sz w:val="20"/>
        </w:rPr>
        <w:t xml:space="preserve">cultura </w:t>
      </w:r>
      <w:r w:rsidRPr="00E029DA">
        <w:rPr>
          <w:b/>
          <w:sz w:val="20"/>
        </w:rPr>
        <w:t xml:space="preserve">Gioco del Lotto - </w:t>
      </w:r>
      <w:r w:rsidRPr="0088502F">
        <w:rPr>
          <w:sz w:val="20"/>
        </w:rPr>
        <w:t>andamento 2004/2014</w:t>
      </w:r>
    </w:p>
    <w:p w:rsidR="00C42AE5" w:rsidRDefault="00910C1F" w:rsidP="00E029DA">
      <w:pPr>
        <w:spacing w:after="0" w:line="276" w:lineRule="auto"/>
        <w:jc w:val="center"/>
        <w:rPr>
          <w:highlight w:val="yellow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F442E" wp14:editId="09976BF6">
                <wp:simplePos x="0" y="0"/>
                <wp:positionH relativeFrom="column">
                  <wp:posOffset>4990465</wp:posOffset>
                </wp:positionH>
                <wp:positionV relativeFrom="paragraph">
                  <wp:posOffset>23495</wp:posOffset>
                </wp:positionV>
                <wp:extent cx="1104900" cy="542925"/>
                <wp:effectExtent l="0" t="0" r="19050" b="28575"/>
                <wp:wrapNone/>
                <wp:docPr id="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5DB" w:rsidRPr="00910C1F" w:rsidRDefault="00FD55DB" w:rsidP="00910C1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910C1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Var</w:t>
                            </w:r>
                            <w:proofErr w:type="spellEnd"/>
                            <w:r w:rsidRPr="00910C1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55DB" w:rsidRPr="00910C1F" w:rsidRDefault="00FD55DB" w:rsidP="00910C1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0C1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2014/2004</w:t>
                            </w:r>
                          </w:p>
                          <w:p w:rsidR="00FD55DB" w:rsidRPr="00910C1F" w:rsidRDefault="00FD55DB" w:rsidP="00910C1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0C1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- 83%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F442E" id="Rettangolo 2" o:spid="_x0000_s1027" style="position:absolute;left:0;text-align:left;margin-left:392.95pt;margin-top:1.85pt;width:87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LJOQIAAE0FAAAOAAAAZHJzL2Uyb0RvYy54bWzEVMFu2zAMvQ/YPwi6L3aMZmiCOMXQorts&#10;a9F2H6DIUixAFjVJiZ19/SjJcbZ23WEYsIssUuQj+UhzfTV0mhyE8wpMTeezkhJhODTK7Gr69en2&#10;3SUlPjDTMA1G1PQoPL3avH2z7u1KVNCCboQjCGL8qrc1bUOwq6LwvBUd8zOwwuCjBNexgKLbFY1j&#10;PaJ3uqjK8n3Rg2usAy68R+1NfqSbhC+l4OFOSi8C0TXF3EI6XTq38Sw2a7baOWZbxcc02F9k0TFl&#10;MOgEdcMCI3unXkB1ijvwIMOMQ1eAlIqLVANWMy+fVfPYMitSLUiOtxNN/t/B8i+He0dUg71bUmJY&#10;hz16EAE7tgMNpIoE9dav0O7R3rtR8niN1Q7SdfGLdZAhkXqcSBVDIByV83l5sSyRe45vi4tqWS0i&#10;aHH2ts6HjwI6Ei81ddi0xCU7fPIhm55MYjAPWjW3SuskxEER19qRA8MWM86FCfPkrvfdZ2iyHkcF&#10;U0AstkI1jkRWX57UmE0auYiUcvsliDb/Iy7mFAMXkf5MeLqFoxapDvMgJHYOKa5SvVMBL6nwLWtE&#10;Vi9eLVlHwIgskdsJO3P5CnZuzmgfXUX65Sbn8k+JZefJI0UGEybnThlwvwPQ2OAxcrY/kZSpiSyF&#10;YTvkqY6WUbOF5oiTjqsq3OEhNfQ15VpZSlpw35/relwJNfXf9swJSlzQ15A3CDMc7WuaR9TAh30A&#10;qdKYnsOMCeE/m4Zp3C9xKfwsJ6vzFtz8AAAA//8DAFBLAwQUAAYACAAAACEA1+j0Vd8AAAAIAQAA&#10;DwAAAGRycy9kb3ducmV2LnhtbEyPzU7DMBCE70i8g7VI3KhDqtIkxKkQiBMSoj8qV9fZJqH2Oord&#10;NvD0bE9wHM1o5ptyMTorTjiEzpOC+0kCAsn4uqNGwWb9epeBCFFTra0nVPCNARbV9VWpi9qfaYmn&#10;VWwEl1AotII2xr6QMpgWnQ4T3yOxt/eD05Hl0Mh60Gcud1amSfIgne6IF1rd43OL5rA6OgXvP59f&#10;h6Wx+9R07uNtu33ZTMNaqdub8ekRRMQx/oXhgs/oUDHTzh+pDsIqmGeznKMKpnMQ7OeznPVOQZan&#10;IKtS/j9Q/QIAAP//AwBQSwECLQAUAAYACAAAACEAtoM4kv4AAADhAQAAEwAAAAAAAAAAAAAAAAAA&#10;AAAAW0NvbnRlbnRfVHlwZXNdLnhtbFBLAQItABQABgAIAAAAIQA4/SH/1gAAAJQBAAALAAAAAAAA&#10;AAAAAAAAAC8BAABfcmVscy8ucmVsc1BLAQItABQABgAIAAAAIQAIVJLJOQIAAE0FAAAOAAAAAAAA&#10;AAAAAAAAAC4CAABkcnMvZTJvRG9jLnhtbFBLAQItABQABgAIAAAAIQDX6PRV3wAAAAgBAAAPAAAA&#10;AAAAAAAAAAAAAJMEAABkcnMvZG93bnJldi54bWxQSwUGAAAAAAQABADzAAAAnwUAAAAA&#10;" fillcolor="#deeaf6 [660]" strokecolor="#deeaf6 [660]" strokeweight="1pt">
                <v:textbox>
                  <w:txbxContent>
                    <w:p w:rsidR="00FD55DB" w:rsidRPr="00910C1F" w:rsidRDefault="00FD55DB" w:rsidP="00910C1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910C1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Var</w:t>
                      </w:r>
                      <w:proofErr w:type="spellEnd"/>
                      <w:r w:rsidRPr="00910C1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D55DB" w:rsidRPr="00910C1F" w:rsidRDefault="00FD55DB" w:rsidP="00910C1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910C1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2014/2004</w:t>
                      </w:r>
                    </w:p>
                    <w:p w:rsidR="00FD55DB" w:rsidRPr="00910C1F" w:rsidRDefault="00FD55DB" w:rsidP="00910C1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910C1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- 83%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2A285" wp14:editId="36919D5C">
                <wp:simplePos x="0" y="0"/>
                <wp:positionH relativeFrom="column">
                  <wp:posOffset>958850</wp:posOffset>
                </wp:positionH>
                <wp:positionV relativeFrom="paragraph">
                  <wp:posOffset>292735</wp:posOffset>
                </wp:positionV>
                <wp:extent cx="3960000" cy="28575"/>
                <wp:effectExtent l="0" t="76200" r="21590" b="66675"/>
                <wp:wrapNone/>
                <wp:docPr id="22531" name="Lin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9600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0783" id="Line 8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23.05pt" to="387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iWywEAAG8DAAAOAAAAZHJzL2Uyb0RvYy54bWysU01v2zAMvQ/YfxB0X+y4c5cacXpo1126&#10;rcDW3RmJjgXoC5ISJ/9+lOJmH70N00GgSOqR74la3x6NZgcMUTnb8+Wi5gytcFLZXc+fvz+8W3EW&#10;E1gJ2lns+Qkjv928fbOefIeNG52WGBiB2NhNvudjSr6rqihGNBAXzqOl4OCCgUTHsKtkgInQja6a&#10;ur6uJhekD05gjOS9Pwf5puAPA4r0dRgiJqZ7Tr2lsoeyb/NebdbQ7QL4UYm5DfiHLgwoS0UvUPeQ&#10;gO2DegVllAguuiEthDOVGwYlsHAgNsv6LzbfRvBYuJA40V9kiv8PVnw5PAWmZM+bpr1acmbB0DM9&#10;Kots9T7LM/nYUdadfQrzKXq6sp0+O0mZsE+uMD8OwbBBK/+D5qB4iB07FqlPF6nxmJgg59XNdU2L&#10;M0GxZtV+aHOtCroMk4X0IaZP6AzLRs81NVRA4fAY0zn1JSWnW/egtCY/dNqyqec3bdOWC9FpJXMw&#10;x8pc4Z0O7AA0ESAE2rScS/+RGdzeyoI3IsiPs51AabJZOnninoICu9PIc0GDkjON9Auyde5QW+KU&#10;BcySnaXcOnkqShY/vWphPU9gHpvfz+X2r3+y+QkAAP//AwBQSwMEFAAGAAgAAAAhABVoNjLdAAAA&#10;CQEAAA8AAABkcnMvZG93bnJldi54bWxMj8FOwzAQRO9I/IO1SNyoE5SmKI1TIRAXBEK0iPM23sYR&#10;sTfYbhP+HnOix9GMZt7Um9kO4kQ+9OwU5IsMBLmWde86BR+7p5s7ECGi0ziwIwU/FGDTXF7UWGme&#10;3DudtrETqcSFChWYGMdKytAashgWPJJL3oG9xZik76T2OKVyO8jbLCulxd6lBYMjPRhqv7ZHq8Cj&#10;MS+c2Ynfnl8fKe5Yf38WSl1fzfdrEJHm+B+GP/yEDk1i2vPR6SCGpJd5+hIVFGUOIgVWq6IEsVew&#10;zEqQTS3PHzS/AAAA//8DAFBLAQItABQABgAIAAAAIQC2gziS/gAAAOEBAAATAAAAAAAAAAAAAAAA&#10;AAAAAABbQ29udGVudF9UeXBlc10ueG1sUEsBAi0AFAAGAAgAAAAhADj9If/WAAAAlAEAAAsAAAAA&#10;AAAAAAAAAAAALwEAAF9yZWxzLy5yZWxzUEsBAi0AFAAGAAgAAAAhABGqOJbLAQAAbwMAAA4AAAAA&#10;AAAAAAAAAAAALgIAAGRycy9lMm9Eb2MueG1sUEsBAi0AFAAGAAgAAAAhABVoNjLdAAAACQEAAA8A&#10;AAAAAAAAAAAAAAAAJQQAAGRycy9kb3ducmV2LnhtbFBLBQYAAAAABAAEAPMAAAAvBQAAAAA=&#10;" strokecolor="#5b9bd5 [3204]">
                <v:stroke endarrow="block"/>
              </v:line>
            </w:pict>
          </mc:Fallback>
        </mc:AlternateContent>
      </w:r>
      <w:r w:rsidR="00C42AE5">
        <w:rPr>
          <w:noProof/>
          <w:lang w:eastAsia="it-IT"/>
        </w:rPr>
        <w:drawing>
          <wp:inline distT="0" distB="0" distL="0" distR="0" wp14:anchorId="5900A3F0" wp14:editId="47B281CD">
            <wp:extent cx="5897880" cy="2077085"/>
            <wp:effectExtent l="0" t="0" r="7620" b="18415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502F" w:rsidRPr="0088502F" w:rsidRDefault="0088502F" w:rsidP="0088502F">
      <w:pPr>
        <w:spacing w:after="0" w:line="240" w:lineRule="auto"/>
        <w:ind w:left="426"/>
        <w:rPr>
          <w:rFonts w:eastAsia="Times New Roman" w:cs="Arial"/>
          <w:color w:val="000000"/>
          <w:sz w:val="18"/>
          <w:szCs w:val="20"/>
          <w:lang w:eastAsia="it-IT"/>
        </w:rPr>
      </w:pPr>
      <w:r w:rsidRPr="0088502F">
        <w:rPr>
          <w:rFonts w:eastAsia="Times New Roman" w:cs="Arial"/>
          <w:color w:val="000000"/>
          <w:sz w:val="18"/>
          <w:szCs w:val="20"/>
          <w:lang w:eastAsia="it-IT"/>
        </w:rPr>
        <w:t xml:space="preserve">Fonte: Elaborazione Federculture su dati </w:t>
      </w:r>
      <w:proofErr w:type="spellStart"/>
      <w:r w:rsidRPr="0088502F">
        <w:rPr>
          <w:rFonts w:eastAsia="Times New Roman" w:cs="Arial"/>
          <w:color w:val="000000"/>
          <w:sz w:val="18"/>
          <w:szCs w:val="20"/>
          <w:lang w:eastAsia="it-IT"/>
        </w:rPr>
        <w:t>MiBACT</w:t>
      </w:r>
      <w:proofErr w:type="spellEnd"/>
    </w:p>
    <w:p w:rsidR="0088502F" w:rsidRDefault="0088502F" w:rsidP="00A648AA">
      <w:pPr>
        <w:spacing w:before="120" w:after="0" w:line="276" w:lineRule="auto"/>
        <w:rPr>
          <w:highlight w:val="yellow"/>
        </w:rPr>
      </w:pPr>
    </w:p>
    <w:p w:rsidR="00D72193" w:rsidRPr="00D72193" w:rsidRDefault="00D72193" w:rsidP="00D72193">
      <w:pPr>
        <w:spacing w:before="120" w:after="0" w:line="276" w:lineRule="auto"/>
        <w:jc w:val="both"/>
        <w:rPr>
          <w:b/>
        </w:rPr>
      </w:pPr>
      <w:r>
        <w:t xml:space="preserve">Dal 2015 sarà poi colpita un’altra importante fonte di finanziamento alla cultura: quello derivante dalle </w:t>
      </w:r>
      <w:r w:rsidRPr="00D72193">
        <w:rPr>
          <w:b/>
        </w:rPr>
        <w:t>Camere di Commercio.</w:t>
      </w:r>
    </w:p>
    <w:p w:rsidR="00030DBD" w:rsidRDefault="00D72193" w:rsidP="00030DBD">
      <w:pPr>
        <w:spacing w:before="80" w:after="0" w:line="276" w:lineRule="auto"/>
        <w:jc w:val="both"/>
      </w:pPr>
      <w:r w:rsidRPr="00D72193">
        <w:t>L’articolo 28 della legge 114/2014 di conversione del decreto legge “Pubblica</w:t>
      </w:r>
      <w:r>
        <w:t xml:space="preserve"> </w:t>
      </w:r>
      <w:r w:rsidRPr="00D72193">
        <w:t>Amministrazione” n. 90/2014 stabilisce che il diritto annuale da corrispondere</w:t>
      </w:r>
      <w:r>
        <w:t xml:space="preserve"> </w:t>
      </w:r>
      <w:r w:rsidRPr="00D72193">
        <w:t>alle Camere di Commercio a carico delle imprese sia ridotto del 35%</w:t>
      </w:r>
      <w:r>
        <w:t xml:space="preserve"> </w:t>
      </w:r>
      <w:r w:rsidRPr="00D72193">
        <w:t>nel 2015, del 40% nel 2016 e del 50% nel 2017.</w:t>
      </w:r>
      <w:r w:rsidR="00030DBD">
        <w:t xml:space="preserve"> </w:t>
      </w:r>
      <w:r w:rsidR="00030DBD" w:rsidRPr="00A730FE">
        <w:t xml:space="preserve">La norma produrrà rilevanti effetti negativi sulle economie </w:t>
      </w:r>
      <w:r w:rsidR="00030DBD" w:rsidRPr="00A730FE">
        <w:lastRenderedPageBreak/>
        <w:t>dei territori, in quanto le attività promo</w:t>
      </w:r>
      <w:r w:rsidR="00030DBD">
        <w:t>zionali svolte dalle Camere di C</w:t>
      </w:r>
      <w:r w:rsidR="00030DBD" w:rsidRPr="00A730FE">
        <w:t>ommercio, stante la necessità di prestare attenzione a servizi essenziali e costi ineludibili (ad es. personale), verrebbero ad essere totalmente eliminate.</w:t>
      </w:r>
    </w:p>
    <w:p w:rsidR="00D72193" w:rsidRDefault="00D72193" w:rsidP="00D72193">
      <w:pPr>
        <w:spacing w:before="80" w:after="0" w:line="276" w:lineRule="auto"/>
        <w:jc w:val="both"/>
      </w:pPr>
      <w:r>
        <w:t xml:space="preserve">A </w:t>
      </w:r>
      <w:r w:rsidRPr="00D72193">
        <w:t>valle dell’applicazione</w:t>
      </w:r>
      <w:r>
        <w:t xml:space="preserve"> </w:t>
      </w:r>
      <w:r w:rsidRPr="00D72193">
        <w:t xml:space="preserve">della legge, </w:t>
      </w:r>
      <w:r w:rsidRPr="00D72193">
        <w:rPr>
          <w:b/>
        </w:rPr>
        <w:t xml:space="preserve">la riduzione del diritto camerale comporterebbe un decremento degli interventi </w:t>
      </w:r>
      <w:r w:rsidR="00030DBD">
        <w:rPr>
          <w:b/>
        </w:rPr>
        <w:t xml:space="preserve">diretti </w:t>
      </w:r>
      <w:r w:rsidRPr="00D72193">
        <w:rPr>
          <w:b/>
        </w:rPr>
        <w:t>in cultura di euro 52.748.552</w:t>
      </w:r>
      <w:r w:rsidRPr="00D72193">
        <w:t xml:space="preserve">, con un </w:t>
      </w:r>
      <w:r w:rsidRPr="00D72193">
        <w:rPr>
          <w:b/>
        </w:rPr>
        <w:t>effetto recessivo moltiplicativo</w:t>
      </w:r>
      <w:r w:rsidR="00706D3A">
        <w:rPr>
          <w:b/>
        </w:rPr>
        <w:t xml:space="preserve">, </w:t>
      </w:r>
      <w:r w:rsidR="00706D3A">
        <w:t>vale a dire comprensivo dei benefici economici indotti anche su settori contigui,</w:t>
      </w:r>
      <w:r w:rsidRPr="00D72193">
        <w:rPr>
          <w:b/>
        </w:rPr>
        <w:t xml:space="preserve"> di euro 139.401.617 nel 2017</w:t>
      </w:r>
      <w:r w:rsidRPr="00D72193">
        <w:t>.</w:t>
      </w:r>
    </w:p>
    <w:p w:rsidR="00030DBD" w:rsidRDefault="00030DBD" w:rsidP="00D72193">
      <w:pPr>
        <w:spacing w:before="80" w:after="0" w:line="276" w:lineRule="auto"/>
        <w:jc w:val="both"/>
      </w:pPr>
    </w:p>
    <w:p w:rsidR="00D72193" w:rsidRPr="00D72193" w:rsidRDefault="00D72193" w:rsidP="00D72193">
      <w:pPr>
        <w:spacing w:after="0" w:line="240" w:lineRule="auto"/>
        <w:jc w:val="center"/>
        <w:rPr>
          <w:b/>
          <w:sz w:val="20"/>
        </w:rPr>
      </w:pPr>
      <w:r w:rsidRPr="00D72193">
        <w:rPr>
          <w:b/>
          <w:sz w:val="20"/>
        </w:rPr>
        <w:t>Riduzioni previste - Risorse per la Cultura</w:t>
      </w:r>
    </w:p>
    <w:p w:rsidR="00D72193" w:rsidRDefault="00D72193" w:rsidP="00D72193">
      <w:pPr>
        <w:spacing w:after="0" w:line="240" w:lineRule="auto"/>
        <w:jc w:val="center"/>
      </w:pPr>
      <w:r w:rsidRPr="00D72193">
        <w:rPr>
          <w:b/>
          <w:sz w:val="20"/>
        </w:rPr>
        <w:t xml:space="preserve">Interventi CCIAA + effetti moltiplicativi* </w:t>
      </w:r>
      <w:r w:rsidRPr="00D72193">
        <w:rPr>
          <w:sz w:val="20"/>
        </w:rPr>
        <w:t>(euro)</w:t>
      </w:r>
    </w:p>
    <w:p w:rsidR="00D72193" w:rsidRDefault="00D72193" w:rsidP="00D72193">
      <w:pPr>
        <w:spacing w:before="80" w:after="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46E5CE9B" wp14:editId="58935B00">
            <wp:extent cx="3800475" cy="2238375"/>
            <wp:effectExtent l="0" t="0" r="9525" b="9525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2193" w:rsidRDefault="00D72193" w:rsidP="00D7219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6"/>
          <w:lang w:eastAsia="it-IT"/>
        </w:rPr>
      </w:pPr>
      <w:r w:rsidRPr="00D72193">
        <w:rPr>
          <w:rFonts w:ascii="Calibri" w:eastAsia="Times New Roman" w:hAnsi="Calibri" w:cs="Times New Roman"/>
          <w:color w:val="000000"/>
          <w:sz w:val="18"/>
          <w:szCs w:val="16"/>
          <w:lang w:eastAsia="it-IT"/>
        </w:rPr>
        <w:t>*Si tratta di effetti moltiplicativi elaborati sulla base delle matrici Supply Use elaborate dall’Istat attraverso le quali è possibile valutare le interdipendenze settoriali.</w:t>
      </w:r>
    </w:p>
    <w:p w:rsidR="00D72193" w:rsidRPr="00D72193" w:rsidRDefault="00D72193" w:rsidP="00D7219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6"/>
          <w:lang w:eastAsia="it-IT"/>
        </w:rPr>
      </w:pPr>
      <w:r>
        <w:rPr>
          <w:rFonts w:ascii="Calibri" w:eastAsia="Times New Roman" w:hAnsi="Calibri" w:cs="Times New Roman"/>
          <w:color w:val="000000"/>
          <w:sz w:val="18"/>
          <w:szCs w:val="16"/>
          <w:lang w:eastAsia="it-IT"/>
        </w:rPr>
        <w:t xml:space="preserve">Fonte: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6"/>
          <w:lang w:eastAsia="it-IT"/>
        </w:rPr>
        <w:t>Unioncamere</w:t>
      </w:r>
      <w:proofErr w:type="spellEnd"/>
    </w:p>
    <w:p w:rsidR="00D72193" w:rsidRDefault="00D72193" w:rsidP="00260F98">
      <w:pPr>
        <w:spacing w:before="80" w:after="0" w:line="276" w:lineRule="auto"/>
      </w:pPr>
    </w:p>
    <w:p w:rsidR="00D72193" w:rsidRDefault="00260F98" w:rsidP="00D72193">
      <w:pPr>
        <w:spacing w:before="80" w:after="0" w:line="276" w:lineRule="auto"/>
        <w:jc w:val="both"/>
      </w:pPr>
      <w:r>
        <w:t xml:space="preserve">Dopo il crollo verticale degli ultimi anni sono, invece, in leggera ripresa gli investimenti dei </w:t>
      </w:r>
      <w:r w:rsidRPr="00260F98">
        <w:rPr>
          <w:b/>
        </w:rPr>
        <w:t>Comuni</w:t>
      </w:r>
      <w:r>
        <w:t xml:space="preserve"> italiani nel settore culturale. </w:t>
      </w:r>
      <w:r w:rsidR="0068705C">
        <w:t xml:space="preserve">I dati più aggiornati (2013) </w:t>
      </w:r>
      <w:r w:rsidR="0065184C">
        <w:t xml:space="preserve">segnalano un </w:t>
      </w:r>
      <w:r w:rsidR="0065184C" w:rsidRPr="0065184C">
        <w:rPr>
          <w:b/>
        </w:rPr>
        <w:t>incremento del 2,8% rispetto al 2012</w:t>
      </w:r>
      <w:r w:rsidR="0065184C">
        <w:t xml:space="preserve"> per un totale di circa </w:t>
      </w:r>
      <w:r w:rsidR="0065184C" w:rsidRPr="0065184C">
        <w:rPr>
          <w:b/>
        </w:rPr>
        <w:t>2 milioni di euro</w:t>
      </w:r>
      <w:r w:rsidR="0065184C">
        <w:t xml:space="preserve"> destinati alla cultura dalle amministrazioni comunali.</w:t>
      </w:r>
    </w:p>
    <w:p w:rsidR="00E52254" w:rsidRDefault="00E52254" w:rsidP="00D72193">
      <w:pPr>
        <w:spacing w:before="80" w:after="0" w:line="276" w:lineRule="auto"/>
        <w:jc w:val="both"/>
      </w:pPr>
    </w:p>
    <w:p w:rsidR="005F027B" w:rsidRPr="00260F98" w:rsidRDefault="005F027B" w:rsidP="005F027B">
      <w:pPr>
        <w:spacing w:before="120" w:after="0" w:line="276" w:lineRule="auto"/>
        <w:jc w:val="center"/>
        <w:rPr>
          <w:sz w:val="20"/>
        </w:rPr>
      </w:pPr>
      <w:r w:rsidRPr="00260F98">
        <w:rPr>
          <w:b/>
          <w:sz w:val="20"/>
        </w:rPr>
        <w:t>Spesa dei Comuni per la Cultura</w:t>
      </w:r>
      <w:r w:rsidR="00260F98" w:rsidRPr="00260F98">
        <w:rPr>
          <w:sz w:val="20"/>
        </w:rPr>
        <w:t xml:space="preserve"> - serie storica 2005-2013</w:t>
      </w:r>
      <w:r w:rsidRPr="00260F98">
        <w:rPr>
          <w:sz w:val="20"/>
        </w:rPr>
        <w:t xml:space="preserve"> (milioni di euro)</w:t>
      </w:r>
    </w:p>
    <w:p w:rsidR="007D5F0F" w:rsidRPr="004C5D54" w:rsidRDefault="0068705C" w:rsidP="004E5B6C">
      <w:pPr>
        <w:spacing w:after="0" w:line="276" w:lineRule="auto"/>
        <w:jc w:val="center"/>
        <w:rPr>
          <w:highlight w:val="yellow"/>
        </w:rPr>
      </w:pPr>
      <w:r>
        <w:rPr>
          <w:noProof/>
          <w:lang w:eastAsia="it-IT"/>
        </w:rPr>
        <w:drawing>
          <wp:inline distT="0" distB="0" distL="0" distR="0" wp14:anchorId="65606965" wp14:editId="492DA810">
            <wp:extent cx="4248150" cy="2292985"/>
            <wp:effectExtent l="0" t="0" r="0" b="12065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027B" w:rsidRPr="00260F98" w:rsidRDefault="005F027B" w:rsidP="00304097">
      <w:pPr>
        <w:spacing w:after="0" w:line="276" w:lineRule="auto"/>
        <w:ind w:left="1843"/>
        <w:rPr>
          <w:sz w:val="18"/>
        </w:rPr>
      </w:pPr>
      <w:r w:rsidRPr="00260F98">
        <w:rPr>
          <w:sz w:val="18"/>
        </w:rPr>
        <w:t xml:space="preserve">Fonte: elaborazioni Federculture su dati </w:t>
      </w:r>
      <w:r w:rsidR="00A5024C" w:rsidRPr="00260F98">
        <w:rPr>
          <w:sz w:val="18"/>
        </w:rPr>
        <w:t>ISTAT</w:t>
      </w:r>
    </w:p>
    <w:p w:rsidR="00343EC8" w:rsidRPr="004C5D54" w:rsidRDefault="00343EC8" w:rsidP="00343EC8">
      <w:pPr>
        <w:pStyle w:val="Paragrafoelenco"/>
        <w:rPr>
          <w:highlight w:val="yellow"/>
        </w:rPr>
      </w:pPr>
    </w:p>
    <w:p w:rsidR="00E53398" w:rsidRDefault="00FF6AFE" w:rsidP="00E53398">
      <w:pPr>
        <w:spacing w:before="120" w:after="0" w:line="276" w:lineRule="auto"/>
        <w:jc w:val="both"/>
      </w:pPr>
      <w:r w:rsidRPr="00FF6AFE">
        <w:t>Questo andamento trova conferma anche ne</w:t>
      </w:r>
      <w:r w:rsidR="006D7D4E" w:rsidRPr="00FF6AFE">
        <w:t>ll’</w:t>
      </w:r>
      <w:r w:rsidR="00E53398" w:rsidRPr="00FF6AFE">
        <w:t xml:space="preserve">indagine a campione condotta per il </w:t>
      </w:r>
      <w:r w:rsidRPr="00FF6AFE">
        <w:t>quarto</w:t>
      </w:r>
      <w:r w:rsidR="00E53398" w:rsidRPr="00FF6AFE">
        <w:t xml:space="preserve"> anno consecutivo da Federculture</w:t>
      </w:r>
      <w:r w:rsidR="004121A3" w:rsidRPr="00FF6AFE">
        <w:t xml:space="preserve"> e contenuta nel Rapporto</w:t>
      </w:r>
      <w:r w:rsidR="00E53398" w:rsidRPr="00FF6AFE">
        <w:t xml:space="preserve"> (2</w:t>
      </w:r>
      <w:r w:rsidRPr="00FF6AFE">
        <w:t>2</w:t>
      </w:r>
      <w:r w:rsidR="00E53398" w:rsidRPr="00FF6AFE">
        <w:t xml:space="preserve"> grandi e medie città d’arte coinvolte) </w:t>
      </w:r>
      <w:r w:rsidR="00F6555D" w:rsidRPr="00FF6AFE">
        <w:t>che</w:t>
      </w:r>
      <w:r w:rsidR="00E53398" w:rsidRPr="00FF6AFE">
        <w:t xml:space="preserve"> rileva </w:t>
      </w:r>
      <w:r w:rsidRPr="00FF6AFE">
        <w:t xml:space="preserve">dopo la forte contrazione delle risorse per la cultura nel 2012 una ripresa a partire dal 2013 e confermata nei previsionali 2014. Rimane però chiara, anche se contenuta, la riduzione dell’incidenza della spesa in cultura sul totale di bilancio che </w:t>
      </w:r>
      <w:r w:rsidR="00E53398" w:rsidRPr="00FF6AFE">
        <w:rPr>
          <w:b/>
        </w:rPr>
        <w:t>passa i</w:t>
      </w:r>
      <w:r w:rsidRPr="00FF6AFE">
        <w:rPr>
          <w:b/>
        </w:rPr>
        <w:t>n media dal 3,1% del 2008 al 2,7</w:t>
      </w:r>
      <w:r w:rsidR="00E53398" w:rsidRPr="00FF6AFE">
        <w:rPr>
          <w:b/>
        </w:rPr>
        <w:t xml:space="preserve">% </w:t>
      </w:r>
      <w:r w:rsidRPr="00FF6AFE">
        <w:rPr>
          <w:b/>
        </w:rPr>
        <w:t xml:space="preserve">del </w:t>
      </w:r>
      <w:r w:rsidR="00E53398" w:rsidRPr="00FF6AFE">
        <w:rPr>
          <w:b/>
        </w:rPr>
        <w:t>2014</w:t>
      </w:r>
      <w:r w:rsidR="00E53398" w:rsidRPr="00FF6AFE">
        <w:t>.</w:t>
      </w:r>
    </w:p>
    <w:p w:rsidR="00FF35BB" w:rsidRDefault="00FF6AFE" w:rsidP="00DA3B82">
      <w:pPr>
        <w:spacing w:before="120" w:after="0" w:line="276" w:lineRule="auto"/>
        <w:jc w:val="both"/>
      </w:pPr>
      <w:r>
        <w:lastRenderedPageBreak/>
        <w:t xml:space="preserve">Sono, invece, ancora in calo </w:t>
      </w:r>
      <w:r w:rsidR="004E5B6C" w:rsidRPr="00FF6AFE">
        <w:t>gli investimenti in cultura effettuati negli ultimi anni dal</w:t>
      </w:r>
      <w:r w:rsidR="00370358" w:rsidRPr="00FF6AFE">
        <w:t xml:space="preserve">le </w:t>
      </w:r>
      <w:r w:rsidR="00370358" w:rsidRPr="00FF6AFE">
        <w:rPr>
          <w:b/>
        </w:rPr>
        <w:t>Province</w:t>
      </w:r>
      <w:r w:rsidR="00DA3B82" w:rsidRPr="00FF6AFE">
        <w:t xml:space="preserve"> pari nel </w:t>
      </w:r>
      <w:r w:rsidR="00DA3B82" w:rsidRPr="00FF6AFE">
        <w:rPr>
          <w:b/>
        </w:rPr>
        <w:t>201</w:t>
      </w:r>
      <w:r>
        <w:rPr>
          <w:b/>
        </w:rPr>
        <w:t xml:space="preserve">3 </w:t>
      </w:r>
      <w:r w:rsidRPr="00FF6AFE">
        <w:t>a</w:t>
      </w:r>
      <w:r w:rsidR="00343EC8" w:rsidRPr="00FF6AFE">
        <w:rPr>
          <w:b/>
        </w:rPr>
        <w:t xml:space="preserve"> </w:t>
      </w:r>
      <w:r>
        <w:rPr>
          <w:b/>
        </w:rPr>
        <w:t xml:space="preserve">131 </w:t>
      </w:r>
      <w:r w:rsidR="00DA3B82" w:rsidRPr="00FF6AFE">
        <w:rPr>
          <w:b/>
        </w:rPr>
        <w:t>milioni</w:t>
      </w:r>
      <w:r w:rsidR="00343EC8" w:rsidRPr="00FF6AFE">
        <w:rPr>
          <w:b/>
        </w:rPr>
        <w:t xml:space="preserve"> </w:t>
      </w:r>
      <w:r w:rsidR="00702905" w:rsidRPr="00FF6AFE">
        <w:rPr>
          <w:b/>
        </w:rPr>
        <w:t>di euro, -</w:t>
      </w:r>
      <w:r>
        <w:rPr>
          <w:b/>
        </w:rPr>
        <w:t>18</w:t>
      </w:r>
      <w:r w:rsidR="00702905" w:rsidRPr="00FF6AFE">
        <w:rPr>
          <w:b/>
        </w:rPr>
        <w:t>% sul 201</w:t>
      </w:r>
      <w:r>
        <w:rPr>
          <w:b/>
        </w:rPr>
        <w:t xml:space="preserve">2 </w:t>
      </w:r>
      <w:r w:rsidRPr="00FF6AFE">
        <w:t>e</w:t>
      </w:r>
      <w:r>
        <w:rPr>
          <w:b/>
        </w:rPr>
        <w:t xml:space="preserve"> </w:t>
      </w:r>
      <w:r>
        <w:t xml:space="preserve">dimezzati, </w:t>
      </w:r>
      <w:r>
        <w:rPr>
          <w:b/>
        </w:rPr>
        <w:t>-5</w:t>
      </w:r>
      <w:r w:rsidR="00702905" w:rsidRPr="00FF6AFE">
        <w:rPr>
          <w:b/>
        </w:rPr>
        <w:t>2%</w:t>
      </w:r>
      <w:r>
        <w:rPr>
          <w:b/>
        </w:rPr>
        <w:t>,</w:t>
      </w:r>
      <w:r w:rsidR="00702905" w:rsidRPr="00FF6AFE">
        <w:rPr>
          <w:b/>
        </w:rPr>
        <w:t xml:space="preserve"> rispetto al </w:t>
      </w:r>
      <w:r w:rsidR="00343EC8" w:rsidRPr="00FF6AFE">
        <w:rPr>
          <w:b/>
        </w:rPr>
        <w:t>2006</w:t>
      </w:r>
      <w:r w:rsidR="00B1568A" w:rsidRPr="00B1568A">
        <w:t xml:space="preserve">, </w:t>
      </w:r>
      <w:r w:rsidR="00B1568A">
        <w:t xml:space="preserve">ben </w:t>
      </w:r>
      <w:r w:rsidR="00B1568A" w:rsidRPr="00B1568A">
        <w:rPr>
          <w:b/>
        </w:rPr>
        <w:t>144 milioni in meno</w:t>
      </w:r>
      <w:r w:rsidR="00702905" w:rsidRPr="00FF6AFE">
        <w:t>.</w:t>
      </w:r>
    </w:p>
    <w:p w:rsidR="00030DBD" w:rsidRDefault="00030DBD" w:rsidP="00DA3B82">
      <w:pPr>
        <w:spacing w:before="120" w:after="0" w:line="276" w:lineRule="auto"/>
        <w:jc w:val="both"/>
      </w:pPr>
    </w:p>
    <w:p w:rsidR="00030DBD" w:rsidRPr="00FF6AFE" w:rsidRDefault="00030DBD" w:rsidP="00DA3B82">
      <w:pPr>
        <w:spacing w:before="120" w:after="0" w:line="276" w:lineRule="auto"/>
        <w:jc w:val="both"/>
      </w:pPr>
    </w:p>
    <w:p w:rsidR="00FF35BB" w:rsidRPr="00E52254" w:rsidRDefault="00FF35BB" w:rsidP="00E52254">
      <w:pPr>
        <w:pStyle w:val="Paragrafoelenco"/>
        <w:numPr>
          <w:ilvl w:val="0"/>
          <w:numId w:val="9"/>
        </w:numPr>
        <w:rPr>
          <w:b/>
          <w:sz w:val="28"/>
          <w:szCs w:val="32"/>
        </w:rPr>
      </w:pPr>
      <w:r w:rsidRPr="00E52254">
        <w:rPr>
          <w:b/>
          <w:sz w:val="28"/>
          <w:szCs w:val="32"/>
        </w:rPr>
        <w:t>Gli investimenti dei privati</w:t>
      </w:r>
    </w:p>
    <w:p w:rsidR="00706D3A" w:rsidRPr="00706D3A" w:rsidRDefault="00706D3A" w:rsidP="00706D3A">
      <w:pPr>
        <w:spacing w:before="120" w:after="0" w:line="276" w:lineRule="auto"/>
        <w:jc w:val="both"/>
      </w:pPr>
      <w:r w:rsidRPr="00706D3A">
        <w:t>Sul fronte dei soggetti privati che destinano risorse alla cultura, invece, i trend son</w:t>
      </w:r>
      <w:r w:rsidR="00030DBD">
        <w:t>o</w:t>
      </w:r>
      <w:r w:rsidRPr="00706D3A">
        <w:t xml:space="preserve"> ancora </w:t>
      </w:r>
      <w:r w:rsidR="00030DBD">
        <w:t>per la maggior parte negativi</w:t>
      </w:r>
      <w:r w:rsidRPr="00706D3A">
        <w:t>.</w:t>
      </w:r>
    </w:p>
    <w:p w:rsidR="00706D3A" w:rsidRDefault="00706D3A" w:rsidP="00706D3A">
      <w:pPr>
        <w:spacing w:before="120" w:after="0" w:line="276" w:lineRule="auto"/>
        <w:jc w:val="both"/>
      </w:pPr>
      <w:r w:rsidRPr="00706D3A">
        <w:t xml:space="preserve">Il volume delle </w:t>
      </w:r>
      <w:r w:rsidRPr="00706D3A">
        <w:rPr>
          <w:b/>
        </w:rPr>
        <w:t>erogazioni derivanti dalle fondazioni bancarie</w:t>
      </w:r>
      <w:r w:rsidRPr="00706D3A">
        <w:t xml:space="preserve"> </w:t>
      </w:r>
      <w:r>
        <w:t xml:space="preserve">nel </w:t>
      </w:r>
      <w:r w:rsidRPr="00706D3A">
        <w:rPr>
          <w:b/>
        </w:rPr>
        <w:t>2013</w:t>
      </w:r>
      <w:r>
        <w:t xml:space="preserve"> (ultimi dati ACRI disponibili) è sceso decisamente sotto la soglia dei 300 milioni di euro, fermandosi a </w:t>
      </w:r>
      <w:r w:rsidRPr="007B4F3A">
        <w:rPr>
          <w:b/>
        </w:rPr>
        <w:t>2</w:t>
      </w:r>
      <w:r w:rsidR="007B4F3A" w:rsidRPr="007B4F3A">
        <w:rPr>
          <w:b/>
        </w:rPr>
        <w:t>69 milioni di euro</w:t>
      </w:r>
      <w:r w:rsidR="007B4F3A">
        <w:t xml:space="preserve">. Un vero e proprio dimezzamento, </w:t>
      </w:r>
      <w:r w:rsidR="007B4F3A" w:rsidRPr="007B4F3A">
        <w:rPr>
          <w:b/>
        </w:rPr>
        <w:t>255 milioni in meno</w:t>
      </w:r>
      <w:r w:rsidR="007B4F3A">
        <w:t>, rispetto al 2007</w:t>
      </w:r>
      <w:r w:rsidR="007B4F3A" w:rsidRPr="007B4F3A">
        <w:t xml:space="preserve"> </w:t>
      </w:r>
      <w:r w:rsidR="007B4F3A" w:rsidRPr="00706D3A">
        <w:t xml:space="preserve">quando avevano raggiunto il </w:t>
      </w:r>
      <w:r w:rsidR="00030DBD">
        <w:t>massimo</w:t>
      </w:r>
      <w:r w:rsidR="007B4F3A" w:rsidRPr="00706D3A">
        <w:t xml:space="preserve"> di 524</w:t>
      </w:r>
      <w:r w:rsidR="007B4F3A">
        <w:t xml:space="preserve"> milioni e il </w:t>
      </w:r>
      <w:r w:rsidR="007B4F3A" w:rsidRPr="007B4F3A">
        <w:rPr>
          <w:b/>
        </w:rPr>
        <w:t>12% in meno sul 2012</w:t>
      </w:r>
      <w:r w:rsidR="007B4F3A">
        <w:t>.</w:t>
      </w:r>
    </w:p>
    <w:p w:rsidR="00706D3A" w:rsidRPr="004C5D54" w:rsidRDefault="00706D3A" w:rsidP="00706D3A">
      <w:pPr>
        <w:spacing w:after="0" w:line="276" w:lineRule="auto"/>
        <w:jc w:val="both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876"/>
        <w:gridCol w:w="857"/>
        <w:gridCol w:w="875"/>
        <w:gridCol w:w="907"/>
        <w:gridCol w:w="907"/>
        <w:gridCol w:w="907"/>
        <w:gridCol w:w="791"/>
        <w:gridCol w:w="795"/>
      </w:tblGrid>
      <w:tr w:rsidR="00706D3A" w:rsidRPr="00706D3A" w:rsidTr="007B4F3A">
        <w:trPr>
          <w:trHeight w:val="283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:rsidR="00706D3A" w:rsidRPr="00706D3A" w:rsidRDefault="007B4F3A" w:rsidP="007B4F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Le</w:t>
            </w:r>
            <w:r w:rsidR="00706D3A"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erogazioni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delle fondazioni </w:t>
            </w:r>
            <w:r w:rsidR="00706D3A"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bancarie </w:t>
            </w:r>
            <w:r w:rsidR="00706D3A" w:rsidRPr="00706D3A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(milioni di euro)</w:t>
            </w:r>
          </w:p>
        </w:tc>
      </w:tr>
      <w:tr w:rsidR="007B4F3A" w:rsidRPr="00706D3A" w:rsidTr="007B4F3A">
        <w:trPr>
          <w:trHeight w:val="283"/>
        </w:trPr>
        <w:tc>
          <w:tcPr>
            <w:tcW w:w="1531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2006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2008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2010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2011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2013</w:t>
            </w:r>
          </w:p>
        </w:tc>
      </w:tr>
      <w:tr w:rsidR="007B4F3A" w:rsidRPr="00706D3A" w:rsidTr="007B4F3A">
        <w:trPr>
          <w:trHeight w:val="283"/>
        </w:trPr>
        <w:tc>
          <w:tcPr>
            <w:tcW w:w="1531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ARTE, ATTIVITA’ E BENI CULTURALI  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487,8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524,2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513,1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335,4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305,3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06D3A" w:rsidRPr="00706D3A" w:rsidRDefault="00706D3A" w:rsidP="00706D3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</w:pPr>
            <w:r w:rsidRPr="00706D3A">
              <w:rPr>
                <w:rFonts w:eastAsia="Times New Roman" w:cs="Arial"/>
                <w:bCs/>
                <w:color w:val="000000"/>
                <w:sz w:val="18"/>
                <w:szCs w:val="18"/>
                <w:lang w:eastAsia="it-IT"/>
              </w:rPr>
              <w:t>269,2</w:t>
            </w:r>
          </w:p>
        </w:tc>
      </w:tr>
    </w:tbl>
    <w:p w:rsidR="00706D3A" w:rsidRPr="007B4F3A" w:rsidRDefault="00706D3A" w:rsidP="00706D3A">
      <w:pPr>
        <w:spacing w:after="0" w:line="276" w:lineRule="auto"/>
        <w:rPr>
          <w:sz w:val="18"/>
        </w:rPr>
      </w:pPr>
      <w:r w:rsidRPr="007B4F3A">
        <w:rPr>
          <w:sz w:val="18"/>
        </w:rPr>
        <w:t>Fonte: ACRI</w:t>
      </w:r>
    </w:p>
    <w:p w:rsidR="00706D3A" w:rsidRPr="004C5D54" w:rsidRDefault="00706D3A" w:rsidP="00706D3A">
      <w:pPr>
        <w:spacing w:after="0" w:line="276" w:lineRule="auto"/>
        <w:jc w:val="both"/>
        <w:rPr>
          <w:highlight w:val="yellow"/>
        </w:rPr>
      </w:pPr>
    </w:p>
    <w:p w:rsidR="00A77AE7" w:rsidRPr="00A77AE7" w:rsidRDefault="0004768D" w:rsidP="00706D3A">
      <w:pPr>
        <w:spacing w:before="120" w:after="0" w:line="276" w:lineRule="auto"/>
        <w:jc w:val="both"/>
      </w:pPr>
      <w:r w:rsidRPr="00A77AE7">
        <w:t>Altrettanto netto è il calo delle risorse derivanti dalle</w:t>
      </w:r>
      <w:r w:rsidR="00706D3A" w:rsidRPr="00A77AE7">
        <w:t xml:space="preserve"> </w:t>
      </w:r>
      <w:r w:rsidR="00706D3A" w:rsidRPr="00A77AE7">
        <w:rPr>
          <w:b/>
        </w:rPr>
        <w:t>erogazioni liberali da parte dei privati</w:t>
      </w:r>
      <w:r w:rsidR="00706D3A" w:rsidRPr="00A77AE7">
        <w:t xml:space="preserve"> (persone fisiche, imprese ed enti commerciali): </w:t>
      </w:r>
      <w:r w:rsidR="00A77AE7" w:rsidRPr="00A77AE7">
        <w:rPr>
          <w:b/>
        </w:rPr>
        <w:t>nel 2013 la diminuzione sull’anno precedente è stata del 19%.</w:t>
      </w:r>
    </w:p>
    <w:p w:rsidR="00706D3A" w:rsidRDefault="00A77AE7" w:rsidP="00706D3A">
      <w:pPr>
        <w:spacing w:before="120" w:after="0" w:line="276" w:lineRule="auto"/>
        <w:jc w:val="both"/>
      </w:pPr>
      <w:r w:rsidRPr="00A77AE7">
        <w:t xml:space="preserve">Ma nel medio periodo il dato è ancora più significativo: </w:t>
      </w:r>
      <w:r w:rsidR="00706D3A" w:rsidRPr="00A77AE7">
        <w:t>nel 2008 affluivano alla cultura</w:t>
      </w:r>
      <w:r w:rsidR="00030DBD">
        <w:t>,</w:t>
      </w:r>
      <w:r w:rsidR="00706D3A" w:rsidRPr="00A77AE7">
        <w:t xml:space="preserve"> grazie all’art. </w:t>
      </w:r>
      <w:r w:rsidRPr="00A77AE7">
        <w:t>100 e all’art. 15 del T.U.I.R.</w:t>
      </w:r>
      <w:r w:rsidR="00030DBD">
        <w:t>,</w:t>
      </w:r>
      <w:r w:rsidRPr="00A77AE7">
        <w:t xml:space="preserve"> </w:t>
      </w:r>
      <w:r w:rsidR="00706D3A" w:rsidRPr="00A77AE7">
        <w:t xml:space="preserve">60,9 milioni di euro, </w:t>
      </w:r>
      <w:r w:rsidR="00706D3A" w:rsidRPr="00A77AE7">
        <w:rPr>
          <w:b/>
        </w:rPr>
        <w:t>nel 201</w:t>
      </w:r>
      <w:r w:rsidRPr="00A77AE7">
        <w:rPr>
          <w:b/>
        </w:rPr>
        <w:t>3</w:t>
      </w:r>
      <w:r w:rsidR="00706D3A" w:rsidRPr="00A77AE7">
        <w:rPr>
          <w:b/>
        </w:rPr>
        <w:t xml:space="preserve"> sono stat</w:t>
      </w:r>
      <w:r w:rsidRPr="00A77AE7">
        <w:rPr>
          <w:b/>
        </w:rPr>
        <w:t>i</w:t>
      </w:r>
      <w:r w:rsidR="00706D3A" w:rsidRPr="00A77AE7">
        <w:rPr>
          <w:b/>
        </w:rPr>
        <w:t xml:space="preserve"> </w:t>
      </w:r>
      <w:r w:rsidRPr="00A77AE7">
        <w:rPr>
          <w:b/>
        </w:rPr>
        <w:t>36,8</w:t>
      </w:r>
      <w:r w:rsidR="00706D3A" w:rsidRPr="00A77AE7">
        <w:rPr>
          <w:b/>
        </w:rPr>
        <w:t xml:space="preserve"> milioni</w:t>
      </w:r>
      <w:r w:rsidRPr="00A77AE7">
        <w:rPr>
          <w:b/>
        </w:rPr>
        <w:t>,</w:t>
      </w:r>
      <w:r w:rsidR="00706D3A" w:rsidRPr="00A77AE7">
        <w:rPr>
          <w:b/>
        </w:rPr>
        <w:t xml:space="preserve"> il </w:t>
      </w:r>
      <w:r w:rsidRPr="00A77AE7">
        <w:rPr>
          <w:b/>
        </w:rPr>
        <w:t>40</w:t>
      </w:r>
      <w:r w:rsidR="00706D3A" w:rsidRPr="00A77AE7">
        <w:rPr>
          <w:b/>
        </w:rPr>
        <w:t>% in meno</w:t>
      </w:r>
      <w:r w:rsidR="00706D3A" w:rsidRPr="00A77AE7">
        <w:t xml:space="preserve">. </w:t>
      </w:r>
      <w:r w:rsidRPr="00A77AE7">
        <w:t>Il</w:t>
      </w:r>
      <w:r w:rsidR="00706D3A" w:rsidRPr="00A77AE7">
        <w:t xml:space="preserve"> calo più </w:t>
      </w:r>
      <w:r w:rsidRPr="00A77AE7">
        <w:t>evidente</w:t>
      </w:r>
      <w:r w:rsidR="00706D3A" w:rsidRPr="00A77AE7">
        <w:t xml:space="preserve"> è quello registrato nelle </w:t>
      </w:r>
      <w:r w:rsidR="00706D3A" w:rsidRPr="00A77AE7">
        <w:rPr>
          <w:b/>
        </w:rPr>
        <w:t>erogazioni provenienti da privati ed enti non commerciali che in un solo anno (201</w:t>
      </w:r>
      <w:r w:rsidRPr="00A77AE7">
        <w:rPr>
          <w:b/>
        </w:rPr>
        <w:t>3/2012) diminuiscono di 11</w:t>
      </w:r>
      <w:r w:rsidR="00706D3A" w:rsidRPr="00A77AE7">
        <w:rPr>
          <w:b/>
        </w:rPr>
        <w:t xml:space="preserve"> milioni, il </w:t>
      </w:r>
      <w:r w:rsidRPr="00A77AE7">
        <w:rPr>
          <w:b/>
        </w:rPr>
        <w:t>65</w:t>
      </w:r>
      <w:r w:rsidR="00706D3A" w:rsidRPr="00A77AE7">
        <w:rPr>
          <w:b/>
        </w:rPr>
        <w:t>% in meno</w:t>
      </w:r>
      <w:r w:rsidR="00706D3A" w:rsidRPr="00A77AE7">
        <w:t>.</w:t>
      </w:r>
    </w:p>
    <w:p w:rsidR="00A77AE7" w:rsidRDefault="00A77AE7" w:rsidP="00A77AE7">
      <w:pPr>
        <w:spacing w:before="120" w:after="0" w:line="276" w:lineRule="auto"/>
        <w:jc w:val="center"/>
      </w:pPr>
      <w:r w:rsidRPr="00A77AE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it-IT"/>
        </w:rPr>
        <w:t xml:space="preserve">Erogazioni liberali nel settore dei beni culturali e dello spettacolo </w:t>
      </w:r>
      <w:r w:rsidRPr="00A77AE7">
        <w:rPr>
          <w:rFonts w:ascii="Calibri" w:eastAsia="Times New Roman" w:hAnsi="Calibri" w:cs="Times New Roman"/>
          <w:bCs/>
          <w:color w:val="000000"/>
          <w:sz w:val="18"/>
          <w:szCs w:val="18"/>
          <w:lang w:eastAsia="it-IT"/>
        </w:rPr>
        <w:t>(art. 100 e art. 15 T.U.I.R.) - serie storica 2001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it-IT"/>
        </w:rPr>
        <w:t>-2013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189"/>
        <w:gridCol w:w="1280"/>
        <w:gridCol w:w="1300"/>
        <w:gridCol w:w="1280"/>
        <w:gridCol w:w="1340"/>
        <w:gridCol w:w="1320"/>
      </w:tblGrid>
      <w:tr w:rsidR="00A77AE7" w:rsidRPr="00A77AE7" w:rsidTr="00A77AE7">
        <w:trPr>
          <w:trHeight w:val="2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2013</w:t>
            </w:r>
          </w:p>
        </w:tc>
      </w:tr>
      <w:tr w:rsidR="00A77AE7" w:rsidRPr="00A77AE7" w:rsidTr="00A77AE7">
        <w:trPr>
          <w:trHeight w:val="480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Imprese ed Enti commerciali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31.646.293,40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29.439.452,90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32.200.000,00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28.670.350,00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28.513.505,00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30.994.179,94</w:t>
            </w:r>
          </w:p>
        </w:tc>
      </w:tr>
      <w:tr w:rsidR="00A77AE7" w:rsidRPr="00A77AE7" w:rsidTr="00A77AE7">
        <w:trPr>
          <w:trHeight w:val="285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</w:t>
            </w:r>
            <w:proofErr w:type="spellEnd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. 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-0,4%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-7,0%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9,4%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-11,0%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-0,5%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8,7%</w:t>
            </w:r>
          </w:p>
        </w:tc>
      </w:tr>
      <w:tr w:rsidR="00A77AE7" w:rsidRPr="00A77AE7" w:rsidTr="00A77AE7">
        <w:trPr>
          <w:trHeight w:val="480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Privati ed Enti non commerciali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29.308.384,27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22.554.248,57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26.149.616,60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26.658.122,89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16.808.767,84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5.883.068,74</w:t>
            </w:r>
          </w:p>
        </w:tc>
      </w:tr>
      <w:tr w:rsidR="00A77AE7" w:rsidRPr="00A77AE7" w:rsidTr="00A77AE7">
        <w:trPr>
          <w:trHeight w:val="285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</w:t>
            </w:r>
            <w:proofErr w:type="spellEnd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. 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47,7%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-23,0%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15,9%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-36,9%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-65,0%</w:t>
            </w:r>
          </w:p>
        </w:tc>
      </w:tr>
      <w:tr w:rsidR="00A77AE7" w:rsidRPr="00A77AE7" w:rsidTr="00A77AE7">
        <w:trPr>
          <w:trHeight w:val="285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60.954.677,67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51.993.701,47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58.349.616,60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55.328.472,89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45.322.272,84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36.877.248,68</w:t>
            </w:r>
          </w:p>
        </w:tc>
      </w:tr>
      <w:tr w:rsidR="00A77AE7" w:rsidRPr="00A77AE7" w:rsidTr="00A77AE7">
        <w:trPr>
          <w:trHeight w:val="28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7AE7" w:rsidRPr="00A77AE7" w:rsidRDefault="00A77AE7" w:rsidP="00A77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</w:t>
            </w:r>
            <w:proofErr w:type="spellEnd"/>
            <w:r w:rsidRPr="00A77A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. 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18,1%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-14,7%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12,2%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-5,2%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-18,1%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AE7" w:rsidRPr="00A77AE7" w:rsidRDefault="00A77AE7" w:rsidP="00A77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77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-18,6%</w:t>
            </w:r>
          </w:p>
        </w:tc>
      </w:tr>
    </w:tbl>
    <w:p w:rsidR="00A77AE7" w:rsidRPr="007B4F3A" w:rsidRDefault="00A77AE7" w:rsidP="00A77AE7">
      <w:pPr>
        <w:spacing w:after="0" w:line="276" w:lineRule="auto"/>
        <w:rPr>
          <w:sz w:val="18"/>
        </w:rPr>
      </w:pPr>
      <w:r w:rsidRPr="007B4F3A">
        <w:rPr>
          <w:sz w:val="18"/>
        </w:rPr>
        <w:t xml:space="preserve">Fonte: </w:t>
      </w:r>
      <w:r>
        <w:rPr>
          <w:sz w:val="18"/>
        </w:rPr>
        <w:t xml:space="preserve">elaborazioni Federculture su dati </w:t>
      </w:r>
      <w:proofErr w:type="spellStart"/>
      <w:r>
        <w:rPr>
          <w:sz w:val="18"/>
        </w:rPr>
        <w:t>MiBACT</w:t>
      </w:r>
      <w:proofErr w:type="spellEnd"/>
    </w:p>
    <w:p w:rsidR="00A77AE7" w:rsidRDefault="00A77AE7" w:rsidP="00A77AE7">
      <w:pPr>
        <w:spacing w:before="120" w:after="0" w:line="276" w:lineRule="auto"/>
        <w:jc w:val="both"/>
      </w:pPr>
    </w:p>
    <w:p w:rsidR="00A77AE7" w:rsidRPr="00A77AE7" w:rsidRDefault="00F8589C" w:rsidP="00A77AE7">
      <w:pPr>
        <w:spacing w:before="120" w:after="0" w:line="276" w:lineRule="auto"/>
        <w:jc w:val="both"/>
      </w:pPr>
      <w:r>
        <w:t xml:space="preserve">Positivo il dato </w:t>
      </w:r>
      <w:r w:rsidRPr="005B28F5">
        <w:rPr>
          <w:b/>
        </w:rPr>
        <w:t>sulle imprese e gli enti commerciali</w:t>
      </w:r>
      <w:r w:rsidRPr="005B28F5">
        <w:t>,</w:t>
      </w:r>
      <w:r w:rsidRPr="005B28F5">
        <w:rPr>
          <w:b/>
        </w:rPr>
        <w:t xml:space="preserve"> </w:t>
      </w:r>
      <w:r w:rsidRPr="005B28F5">
        <w:t>che</w:t>
      </w:r>
      <w:r w:rsidRPr="005B28F5">
        <w:rPr>
          <w:b/>
        </w:rPr>
        <w:t xml:space="preserve"> aumentano le erogazioni a beni culturali e spettacolo del</w:t>
      </w:r>
      <w:r>
        <w:rPr>
          <w:b/>
        </w:rPr>
        <w:t>l’</w:t>
      </w:r>
      <w:r w:rsidRPr="005B28F5">
        <w:rPr>
          <w:b/>
        </w:rPr>
        <w:t>8,7%</w:t>
      </w:r>
      <w:r>
        <w:t>, m</w:t>
      </w:r>
      <w:r w:rsidR="00A77AE7" w:rsidRPr="00A77AE7">
        <w:t>a su quest’ultima forma di finanziamento privato alla</w:t>
      </w:r>
      <w:r w:rsidR="00A77AE7">
        <w:t xml:space="preserve"> </w:t>
      </w:r>
      <w:r w:rsidR="00A77AE7" w:rsidRPr="00A77AE7">
        <w:t>cultura si deve sospendere ogni considerazione vista la recente introduzione</w:t>
      </w:r>
      <w:r w:rsidR="00A77AE7">
        <w:t xml:space="preserve"> </w:t>
      </w:r>
      <w:r w:rsidR="00A77AE7" w:rsidRPr="00A77AE7">
        <w:t>dell’</w:t>
      </w:r>
      <w:r w:rsidR="00A77AE7" w:rsidRPr="00A77AE7">
        <w:rPr>
          <w:i/>
          <w:iCs/>
        </w:rPr>
        <w:t xml:space="preserve">Art Bonus </w:t>
      </w:r>
      <w:r>
        <w:t xml:space="preserve">di agevolazioni fiscali </w:t>
      </w:r>
      <w:r w:rsidRPr="00A77AE7">
        <w:t>precedente</w:t>
      </w:r>
      <w:r>
        <w:t>mente previsto per le erogazioni private al settore culturale</w:t>
      </w:r>
      <w:r w:rsidR="00A77AE7" w:rsidRPr="00A77AE7">
        <w:t>, i cui effetti saranno visibili solo dal prossimo anno.</w:t>
      </w:r>
    </w:p>
    <w:p w:rsidR="00370358" w:rsidRDefault="00CA19C0" w:rsidP="005F1FE4">
      <w:pPr>
        <w:spacing w:before="120" w:after="0" w:line="276" w:lineRule="auto"/>
        <w:jc w:val="both"/>
      </w:pPr>
      <w:r w:rsidRPr="00CA19C0">
        <w:t>Per quanto riguarda le</w:t>
      </w:r>
      <w:r w:rsidR="00455266" w:rsidRPr="00CA19C0">
        <w:t xml:space="preserve"> </w:t>
      </w:r>
      <w:r w:rsidR="00455266" w:rsidRPr="00CA19C0">
        <w:rPr>
          <w:b/>
        </w:rPr>
        <w:t>sponsorizzazioni</w:t>
      </w:r>
      <w:r w:rsidR="00455266" w:rsidRPr="00CA19C0">
        <w:t xml:space="preserve"> a favore di cultura e spettacolo se </w:t>
      </w:r>
      <w:r w:rsidR="00455266" w:rsidRPr="00CA19C0">
        <w:rPr>
          <w:b/>
        </w:rPr>
        <w:t>nel 2013 c'è una leggera ripresa (159 milioni, +6% rispetto al 2012)</w:t>
      </w:r>
      <w:r w:rsidR="00455266" w:rsidRPr="00CA19C0">
        <w:t xml:space="preserve">, nel lungo periodo, </w:t>
      </w:r>
      <w:r w:rsidR="00455266" w:rsidRPr="00CA19C0">
        <w:rPr>
          <w:b/>
        </w:rPr>
        <w:t>tra il 2008 e il 2013, si evidenzia</w:t>
      </w:r>
      <w:r w:rsidR="0074642C" w:rsidRPr="00CA19C0">
        <w:rPr>
          <w:b/>
        </w:rPr>
        <w:t xml:space="preserve"> un calo del </w:t>
      </w:r>
      <w:r w:rsidR="00455266" w:rsidRPr="00CA19C0">
        <w:rPr>
          <w:b/>
        </w:rPr>
        <w:t>41%</w:t>
      </w:r>
      <w:r w:rsidR="00291392" w:rsidRPr="00CA19C0">
        <w:t>, le risorse sono</w:t>
      </w:r>
      <w:r w:rsidR="00DA68B7" w:rsidRPr="00CA19C0">
        <w:t>,</w:t>
      </w:r>
      <w:r w:rsidR="00291392" w:rsidRPr="00CA19C0">
        <w:t xml:space="preserve"> infatti</w:t>
      </w:r>
      <w:r w:rsidR="00DA68B7" w:rsidRPr="00CA19C0">
        <w:t>,</w:t>
      </w:r>
      <w:r w:rsidR="00291392" w:rsidRPr="00CA19C0">
        <w:t xml:space="preserve"> passate da 269 a 159 milioni di euro</w:t>
      </w:r>
      <w:r w:rsidR="00455266" w:rsidRPr="00CA19C0">
        <w:t xml:space="preserve">. </w:t>
      </w:r>
    </w:p>
    <w:p w:rsidR="00052946" w:rsidRPr="00CA19C0" w:rsidRDefault="00052946" w:rsidP="005F1FE4">
      <w:pPr>
        <w:spacing w:before="120" w:after="0" w:line="276" w:lineRule="auto"/>
        <w:jc w:val="both"/>
      </w:pPr>
    </w:p>
    <w:p w:rsidR="00455266" w:rsidRDefault="000937DF" w:rsidP="00CA19C0">
      <w:pPr>
        <w:shd w:val="clear" w:color="auto" w:fill="FBE4D5" w:themeFill="accent2" w:themeFillTint="33"/>
        <w:jc w:val="both"/>
      </w:pPr>
      <w:r w:rsidRPr="00CA19C0">
        <w:t xml:space="preserve">Gli </w:t>
      </w:r>
      <w:r w:rsidRPr="00CA19C0">
        <w:rPr>
          <w:b/>
        </w:rPr>
        <w:t>investimenti dei privati</w:t>
      </w:r>
      <w:r w:rsidRPr="00CA19C0">
        <w:t xml:space="preserve"> </w:t>
      </w:r>
      <w:r w:rsidR="002F60EB" w:rsidRPr="00CA19C0">
        <w:t xml:space="preserve">(sponsorizzazioni, erogazioni liberali, investimenti delle fondazioni bancarie) </w:t>
      </w:r>
      <w:r w:rsidRPr="00CA19C0">
        <w:t xml:space="preserve">nel settore culturale </w:t>
      </w:r>
      <w:r w:rsidRPr="00CA19C0">
        <w:rPr>
          <w:b/>
        </w:rPr>
        <w:t>dall’inizio della crisi</w:t>
      </w:r>
      <w:r w:rsidR="00CA19C0">
        <w:rPr>
          <w:b/>
        </w:rPr>
        <w:t>, 2008, ad oggi sono diminuiti di circa 389</w:t>
      </w:r>
      <w:r w:rsidRPr="00CA19C0">
        <w:rPr>
          <w:b/>
        </w:rPr>
        <w:t xml:space="preserve"> milioni</w:t>
      </w:r>
      <w:r w:rsidRPr="00CA19C0">
        <w:t xml:space="preserve"> di euro, vale a dire</w:t>
      </w:r>
      <w:r w:rsidR="00CA19C0">
        <w:rPr>
          <w:b/>
        </w:rPr>
        <w:t xml:space="preserve"> il 45</w:t>
      </w:r>
      <w:r w:rsidRPr="00CA19C0">
        <w:rPr>
          <w:b/>
        </w:rPr>
        <w:t>% in meno</w:t>
      </w:r>
      <w:r w:rsidRPr="00CA19C0">
        <w:t xml:space="preserve">. </w:t>
      </w:r>
    </w:p>
    <w:p w:rsidR="00CA511F" w:rsidRPr="00CA19C0" w:rsidRDefault="00CA19C0" w:rsidP="00CA19C0">
      <w:pPr>
        <w:pStyle w:val="Paragrafoelenco"/>
        <w:numPr>
          <w:ilvl w:val="0"/>
          <w:numId w:val="9"/>
        </w:numPr>
        <w:rPr>
          <w:b/>
          <w:sz w:val="28"/>
          <w:szCs w:val="32"/>
        </w:rPr>
      </w:pPr>
      <w:r w:rsidRPr="00CA19C0">
        <w:rPr>
          <w:b/>
          <w:sz w:val="28"/>
          <w:szCs w:val="32"/>
        </w:rPr>
        <w:lastRenderedPageBreak/>
        <w:t>Turismo e turismo culturale</w:t>
      </w:r>
    </w:p>
    <w:p w:rsidR="00B1568A" w:rsidRDefault="00B1568A" w:rsidP="00AB2FEE">
      <w:pPr>
        <w:spacing w:before="120" w:after="0" w:line="276" w:lineRule="auto"/>
        <w:jc w:val="both"/>
      </w:pPr>
      <w:r>
        <w:t xml:space="preserve">Nonostante il perdurare della crisi economica mondiale, il turismo continua a essere uno dei settori economici fondamentali: </w:t>
      </w:r>
      <w:r w:rsidRPr="00B1568A">
        <w:rPr>
          <w:b/>
        </w:rPr>
        <w:t>i flussi turistici internazionali crescono a ritmo sostenuto anche nel 2014</w:t>
      </w:r>
      <w:r>
        <w:t xml:space="preserve">. Gli </w:t>
      </w:r>
      <w:r w:rsidRPr="00B1568A">
        <w:rPr>
          <w:b/>
        </w:rPr>
        <w:t>arrivi a livello mondiale registrano un incremento del 4,7%</w:t>
      </w:r>
      <w:r>
        <w:t xml:space="preserve"> (+29% dal 2009), toccando quota </w:t>
      </w:r>
      <w:r w:rsidRPr="00B1568A">
        <w:rPr>
          <w:b/>
        </w:rPr>
        <w:t>1.138 miliardi</w:t>
      </w:r>
      <w:r>
        <w:t>, ovvero 51 milioni in più rispetto al 2013. L’</w:t>
      </w:r>
      <w:r w:rsidRPr="00B1568A">
        <w:rPr>
          <w:b/>
        </w:rPr>
        <w:t>Europa</w:t>
      </w:r>
      <w:r>
        <w:t xml:space="preserve">, con una </w:t>
      </w:r>
      <w:r w:rsidRPr="00B1568A">
        <w:rPr>
          <w:b/>
        </w:rPr>
        <w:t>variazione positiva del 4,5%,</w:t>
      </w:r>
      <w:r>
        <w:t xml:space="preserve"> si conferma tra le regioni più visitate del mondo, raggiungendo quota </w:t>
      </w:r>
      <w:r w:rsidRPr="00B1568A">
        <w:rPr>
          <w:b/>
        </w:rPr>
        <w:t>588,4 milioni di arrivi</w:t>
      </w:r>
      <w:r>
        <w:t>.</w:t>
      </w:r>
    </w:p>
    <w:p w:rsidR="00AA0C71" w:rsidRDefault="00AA0C71" w:rsidP="00AB2FEE">
      <w:pPr>
        <w:spacing w:before="120" w:after="0" w:line="276" w:lineRule="auto"/>
        <w:jc w:val="both"/>
        <w:rPr>
          <w:bCs/>
        </w:rPr>
      </w:pPr>
      <w:r>
        <w:rPr>
          <w:bCs/>
        </w:rPr>
        <w:t>Anche s</w:t>
      </w:r>
      <w:r w:rsidRPr="00AA0C71">
        <w:rPr>
          <w:bCs/>
        </w:rPr>
        <w:t>ul versante italiano</w:t>
      </w:r>
      <w:r>
        <w:rPr>
          <w:bCs/>
        </w:rPr>
        <w:t xml:space="preserve"> si registra una crescita complessiva del turismo, seppure in misura minore rispetto a quanto avviene a livello mondiale ed europeo. Infatti, gli </w:t>
      </w:r>
      <w:r w:rsidRPr="00AA0C71">
        <w:rPr>
          <w:b/>
          <w:bCs/>
        </w:rPr>
        <w:t>stranieri arrivati</w:t>
      </w:r>
      <w:r>
        <w:rPr>
          <w:bCs/>
        </w:rPr>
        <w:t xml:space="preserve"> nel Bel Paese nel 2014, </w:t>
      </w:r>
      <w:r w:rsidRPr="00AA0C71">
        <w:rPr>
          <w:bCs/>
        </w:rPr>
        <w:t xml:space="preserve">pari a </w:t>
      </w:r>
      <w:r w:rsidRPr="00AA0C71">
        <w:rPr>
          <w:b/>
          <w:bCs/>
        </w:rPr>
        <w:t>102.384.000</w:t>
      </w:r>
      <w:r>
        <w:rPr>
          <w:b/>
          <w:bCs/>
        </w:rPr>
        <w:t xml:space="preserve"> </w:t>
      </w:r>
      <w:r w:rsidRPr="00AA0C71">
        <w:rPr>
          <w:bCs/>
        </w:rPr>
        <w:t xml:space="preserve">sono </w:t>
      </w:r>
      <w:r w:rsidRPr="00AA0C71">
        <w:rPr>
          <w:b/>
          <w:bCs/>
        </w:rPr>
        <w:t>aumentati del 2,2%,</w:t>
      </w:r>
      <w:r>
        <w:rPr>
          <w:bCs/>
        </w:rPr>
        <w:t xml:space="preserve"> circa </w:t>
      </w:r>
      <w:r w:rsidRPr="00AA0C71">
        <w:rPr>
          <w:b/>
          <w:bCs/>
        </w:rPr>
        <w:t>la metà di quanto avvenuto in Europa</w:t>
      </w:r>
      <w:r>
        <w:rPr>
          <w:bCs/>
        </w:rPr>
        <w:t>.</w:t>
      </w:r>
    </w:p>
    <w:p w:rsidR="00AA0C71" w:rsidRPr="00AA0C71" w:rsidRDefault="00AA0C71" w:rsidP="00AA0C71">
      <w:pPr>
        <w:spacing w:before="120" w:after="0" w:line="276" w:lineRule="auto"/>
        <w:jc w:val="center"/>
        <w:rPr>
          <w:bCs/>
          <w:sz w:val="20"/>
        </w:rPr>
      </w:pPr>
      <w:r w:rsidRPr="00AA0C71">
        <w:rPr>
          <w:b/>
          <w:bCs/>
          <w:sz w:val="20"/>
        </w:rPr>
        <w:t>Viaggiatori stranieri a destinazione</w:t>
      </w:r>
      <w:r w:rsidRPr="00AA0C71">
        <w:rPr>
          <w:bCs/>
          <w:sz w:val="20"/>
        </w:rPr>
        <w:t xml:space="preserve"> – </w:t>
      </w:r>
      <w:proofErr w:type="spellStart"/>
      <w:r w:rsidRPr="00AA0C71">
        <w:rPr>
          <w:bCs/>
          <w:sz w:val="20"/>
        </w:rPr>
        <w:t>Var</w:t>
      </w:r>
      <w:proofErr w:type="spellEnd"/>
      <w:r w:rsidRPr="00AA0C71">
        <w:rPr>
          <w:bCs/>
          <w:sz w:val="20"/>
        </w:rPr>
        <w:t>. 2008-2014</w:t>
      </w:r>
    </w:p>
    <w:p w:rsidR="00AA0C71" w:rsidRDefault="00AA0C71" w:rsidP="00AA0C71">
      <w:pPr>
        <w:spacing w:before="120" w:after="0" w:line="276" w:lineRule="auto"/>
        <w:ind w:left="68"/>
        <w:jc w:val="center"/>
      </w:pPr>
      <w:r w:rsidRPr="00AA0C71">
        <w:rPr>
          <w:noProof/>
          <w:sz w:val="18"/>
          <w:lang w:eastAsia="it-IT"/>
        </w:rPr>
        <w:drawing>
          <wp:inline distT="0" distB="0" distL="0" distR="0" wp14:anchorId="53016434" wp14:editId="51592AB1">
            <wp:extent cx="3076575" cy="1828800"/>
            <wp:effectExtent l="0" t="0" r="9525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0C71" w:rsidRPr="007B4F3A" w:rsidRDefault="00AA0C71" w:rsidP="00AA0C71">
      <w:pPr>
        <w:spacing w:after="0" w:line="276" w:lineRule="auto"/>
        <w:jc w:val="center"/>
        <w:rPr>
          <w:sz w:val="18"/>
        </w:rPr>
      </w:pPr>
      <w:r w:rsidRPr="007B4F3A">
        <w:rPr>
          <w:sz w:val="18"/>
        </w:rPr>
        <w:t xml:space="preserve">Fonte: </w:t>
      </w:r>
      <w:r>
        <w:rPr>
          <w:sz w:val="18"/>
        </w:rPr>
        <w:t>elaborazioni Federculture su dati UIC</w:t>
      </w:r>
    </w:p>
    <w:p w:rsidR="007B0CD4" w:rsidRDefault="007B0CD4" w:rsidP="00C95581">
      <w:pPr>
        <w:spacing w:before="120" w:after="0" w:line="276" w:lineRule="auto"/>
        <w:jc w:val="both"/>
      </w:pPr>
    </w:p>
    <w:p w:rsidR="00C95581" w:rsidRDefault="007B0CD4" w:rsidP="00C95581">
      <w:pPr>
        <w:spacing w:before="120" w:after="0" w:line="276" w:lineRule="auto"/>
        <w:jc w:val="both"/>
      </w:pPr>
      <w:r>
        <w:t>Come già evidenziato per i consumi e la fruizione anche nel turismo emerge un’Italia a due velocità.</w:t>
      </w:r>
    </w:p>
    <w:p w:rsidR="007B0CD4" w:rsidRPr="00C95581" w:rsidRDefault="007B0CD4" w:rsidP="00C95581">
      <w:pPr>
        <w:spacing w:before="120" w:after="0" w:line="276" w:lineRule="auto"/>
        <w:jc w:val="both"/>
      </w:pPr>
      <w:r>
        <w:t xml:space="preserve">La distribuzione di arrivi e spesa turistica è concentrata nelle regioni del Centro e del Nord Italia a scapito di Sud e Isole: </w:t>
      </w:r>
      <w:r w:rsidRPr="007B0CD4">
        <w:rPr>
          <w:b/>
        </w:rPr>
        <w:t>il 64% degli arrivi e il 52% della spesa dei turisti stranieri sono nel Nord, mentre al Centro affluiscono il 20% degli arrivi e il 31% della spesa</w:t>
      </w:r>
      <w:r>
        <w:t xml:space="preserve">. </w:t>
      </w:r>
    </w:p>
    <w:p w:rsidR="00C95581" w:rsidRPr="00C95581" w:rsidRDefault="00C95581" w:rsidP="00C95581">
      <w:pPr>
        <w:spacing w:before="120" w:after="0" w:line="276" w:lineRule="auto"/>
        <w:jc w:val="both"/>
      </w:pPr>
      <w:r w:rsidRPr="00C95581">
        <w:t xml:space="preserve">Nel </w:t>
      </w:r>
      <w:r w:rsidRPr="00C95581">
        <w:rPr>
          <w:b/>
        </w:rPr>
        <w:t>2014</w:t>
      </w:r>
      <w:r w:rsidRPr="00C95581">
        <w:t xml:space="preserve"> gli </w:t>
      </w:r>
      <w:r w:rsidRPr="00C95581">
        <w:rPr>
          <w:b/>
        </w:rPr>
        <w:t>stranieri arrivati nel Sud e nelle Isole</w:t>
      </w:r>
      <w:r w:rsidRPr="00C95581">
        <w:t xml:space="preserve"> sono stati </w:t>
      </w:r>
      <w:r w:rsidRPr="00C95581">
        <w:rPr>
          <w:b/>
        </w:rPr>
        <w:t>8,4 milioni</w:t>
      </w:r>
      <w:r w:rsidRPr="00C95581">
        <w:t>, solo l’</w:t>
      </w:r>
      <w:r w:rsidRPr="00C95581">
        <w:rPr>
          <w:b/>
        </w:rPr>
        <w:t xml:space="preserve">8,3% degli arrivi totali </w:t>
      </w:r>
      <w:r w:rsidRPr="00C95581">
        <w:t xml:space="preserve">nel nostro Paese e </w:t>
      </w:r>
      <w:r w:rsidRPr="00C95581">
        <w:rPr>
          <w:b/>
        </w:rPr>
        <w:t>meno di quanti ne siano arrivati nella sola Toscana, 8,6 milioni</w:t>
      </w:r>
      <w:r w:rsidRPr="00C95581">
        <w:t xml:space="preserve">. </w:t>
      </w:r>
      <w:r>
        <w:t>G</w:t>
      </w:r>
      <w:r w:rsidRPr="00C95581">
        <w:t>li arrivi turistici sono</w:t>
      </w:r>
      <w:r>
        <w:t>,</w:t>
      </w:r>
      <w:r w:rsidRPr="00C95581">
        <w:t xml:space="preserve"> peraltro</w:t>
      </w:r>
      <w:r>
        <w:t>,</w:t>
      </w:r>
      <w:r w:rsidRPr="00C95581">
        <w:t xml:space="preserve"> fortemente concentrati: </w:t>
      </w:r>
      <w:r w:rsidRPr="00C95581">
        <w:rPr>
          <w:b/>
        </w:rPr>
        <w:t>l’80%, vale a dire 6,7 milioni, interessano Campania, Puglia e Sicilia</w:t>
      </w:r>
      <w:r w:rsidRPr="00C95581">
        <w:t xml:space="preserve">. </w:t>
      </w:r>
    </w:p>
    <w:p w:rsidR="00C95581" w:rsidRDefault="00C95581" w:rsidP="00C95581">
      <w:pPr>
        <w:spacing w:before="120" w:after="0" w:line="276" w:lineRule="auto"/>
        <w:jc w:val="both"/>
      </w:pPr>
      <w:r w:rsidRPr="00C95581">
        <w:t>Da sottolineare</w:t>
      </w:r>
      <w:r>
        <w:t>, però,</w:t>
      </w:r>
      <w:r w:rsidRPr="00C95581">
        <w:t xml:space="preserve"> il dato positivo dell’</w:t>
      </w:r>
      <w:r w:rsidRPr="00C95581">
        <w:rPr>
          <w:b/>
        </w:rPr>
        <w:t>incremento</w:t>
      </w:r>
      <w:r w:rsidRPr="00C95581">
        <w:t xml:space="preserve"> degli arrivi nel </w:t>
      </w:r>
      <w:r w:rsidRPr="00C95581">
        <w:rPr>
          <w:b/>
        </w:rPr>
        <w:t>Mezzogiorno</w:t>
      </w:r>
      <w:r w:rsidRPr="00C95581">
        <w:t xml:space="preserve">, pari al </w:t>
      </w:r>
      <w:r w:rsidRPr="00C95581">
        <w:rPr>
          <w:b/>
        </w:rPr>
        <w:t>9%</w:t>
      </w:r>
      <w:r w:rsidRPr="00C95581">
        <w:t>, il più alto tra le macro</w:t>
      </w:r>
      <w:r>
        <w:t>-</w:t>
      </w:r>
      <w:r w:rsidRPr="00C95581">
        <w:t>aree nazionali.</w:t>
      </w:r>
    </w:p>
    <w:p w:rsidR="00C95581" w:rsidRPr="00C95581" w:rsidRDefault="00C95581" w:rsidP="00C95581">
      <w:pPr>
        <w:spacing w:before="120" w:after="0" w:line="276" w:lineRule="auto"/>
        <w:jc w:val="center"/>
        <w:rPr>
          <w:sz w:val="20"/>
        </w:rPr>
      </w:pPr>
      <w:r w:rsidRPr="00C95581">
        <w:rPr>
          <w:b/>
          <w:sz w:val="20"/>
        </w:rPr>
        <w:t>Incidenza viaggiatori stranieri per macro area geografica</w:t>
      </w:r>
      <w:r w:rsidRPr="00C95581">
        <w:rPr>
          <w:sz w:val="20"/>
        </w:rPr>
        <w:t xml:space="preserve"> - 2014</w:t>
      </w:r>
    </w:p>
    <w:p w:rsidR="00AA0C71" w:rsidRDefault="00C95581" w:rsidP="00C95581">
      <w:pPr>
        <w:spacing w:before="120" w:after="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7066821A" wp14:editId="08CD99FB">
            <wp:extent cx="3223932" cy="1662206"/>
            <wp:effectExtent l="0" t="0" r="14605" b="1460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4EF9" w:rsidRPr="007B4F3A" w:rsidRDefault="008E4EF9" w:rsidP="008E4EF9">
      <w:pPr>
        <w:spacing w:after="0" w:line="276" w:lineRule="auto"/>
        <w:jc w:val="center"/>
        <w:rPr>
          <w:sz w:val="18"/>
        </w:rPr>
      </w:pPr>
      <w:r w:rsidRPr="007B4F3A">
        <w:rPr>
          <w:sz w:val="18"/>
        </w:rPr>
        <w:t xml:space="preserve">Fonte: </w:t>
      </w:r>
      <w:r>
        <w:rPr>
          <w:sz w:val="18"/>
        </w:rPr>
        <w:t>elaborazioni Federculture su dati UIC</w:t>
      </w:r>
    </w:p>
    <w:p w:rsidR="00022873" w:rsidRDefault="00022873" w:rsidP="00022873">
      <w:pPr>
        <w:spacing w:line="276" w:lineRule="auto"/>
        <w:jc w:val="both"/>
        <w:rPr>
          <w:rFonts w:ascii="Georgia" w:hAnsi="Georgia"/>
          <w:color w:val="333333"/>
        </w:rPr>
      </w:pPr>
    </w:p>
    <w:p w:rsidR="008E4EF9" w:rsidRPr="008E4EF9" w:rsidRDefault="008E4EF9" w:rsidP="008E4EF9">
      <w:pPr>
        <w:spacing w:before="120" w:after="0" w:line="276" w:lineRule="auto"/>
        <w:jc w:val="both"/>
        <w:rPr>
          <w:bCs/>
        </w:rPr>
      </w:pPr>
      <w:r w:rsidRPr="008E4EF9">
        <w:rPr>
          <w:bCs/>
        </w:rPr>
        <w:t xml:space="preserve">Nel quadro finora delineato, il </w:t>
      </w:r>
      <w:r w:rsidRPr="009D1A5E">
        <w:rPr>
          <w:b/>
          <w:bCs/>
        </w:rPr>
        <w:t>turismo culturale</w:t>
      </w:r>
      <w:r w:rsidRPr="008E4EF9">
        <w:rPr>
          <w:bCs/>
        </w:rPr>
        <w:t xml:space="preserve"> continua a rappresentare</w:t>
      </w:r>
      <w:r>
        <w:rPr>
          <w:bCs/>
        </w:rPr>
        <w:t xml:space="preserve"> </w:t>
      </w:r>
      <w:r w:rsidRPr="008E4EF9">
        <w:rPr>
          <w:bCs/>
        </w:rPr>
        <w:t>una quota rilevante dell’industria turistica</w:t>
      </w:r>
      <w:r>
        <w:rPr>
          <w:bCs/>
        </w:rPr>
        <w:t>.</w:t>
      </w:r>
      <w:bookmarkStart w:id="0" w:name="_GoBack"/>
      <w:bookmarkEnd w:id="0"/>
    </w:p>
    <w:p w:rsidR="008F49A1" w:rsidRDefault="00022873" w:rsidP="008E4EF9">
      <w:pPr>
        <w:spacing w:before="120" w:after="0" w:line="276" w:lineRule="auto"/>
        <w:jc w:val="both"/>
      </w:pPr>
      <w:r w:rsidRPr="00022873">
        <w:t xml:space="preserve">Per quanto riguarda il mercato italiano, i </w:t>
      </w:r>
      <w:r w:rsidRPr="00022873">
        <w:rPr>
          <w:b/>
          <w:bCs/>
        </w:rPr>
        <w:t>flussi</w:t>
      </w:r>
      <w:r>
        <w:rPr>
          <w:b/>
          <w:bCs/>
        </w:rPr>
        <w:t xml:space="preserve"> </w:t>
      </w:r>
      <w:r w:rsidRPr="00022873">
        <w:rPr>
          <w:b/>
          <w:bCs/>
        </w:rPr>
        <w:t>turistici nelle città classificate dall’ISTAT come località di interesse storico</w:t>
      </w:r>
      <w:r>
        <w:rPr>
          <w:b/>
          <w:bCs/>
        </w:rPr>
        <w:t xml:space="preserve"> </w:t>
      </w:r>
      <w:r w:rsidRPr="00022873">
        <w:rPr>
          <w:b/>
          <w:bCs/>
        </w:rPr>
        <w:t xml:space="preserve">e artistico </w:t>
      </w:r>
      <w:r w:rsidRPr="00022873">
        <w:t>incidono sul totale delle destinazioni turistiche</w:t>
      </w:r>
      <w:r>
        <w:t xml:space="preserve"> </w:t>
      </w:r>
      <w:r w:rsidRPr="00022873">
        <w:t xml:space="preserve">per il </w:t>
      </w:r>
      <w:r w:rsidRPr="00022873">
        <w:rPr>
          <w:b/>
          <w:bCs/>
        </w:rPr>
        <w:t xml:space="preserve">36% in termini di arrivi </w:t>
      </w:r>
      <w:r w:rsidR="008E4EF9">
        <w:rPr>
          <w:b/>
          <w:bCs/>
        </w:rPr>
        <w:t xml:space="preserve">e per </w:t>
      </w:r>
      <w:r w:rsidRPr="00022873">
        <w:rPr>
          <w:b/>
          <w:bCs/>
        </w:rPr>
        <w:t xml:space="preserve">27% come presenze, </w:t>
      </w:r>
      <w:r w:rsidRPr="00022873">
        <w:t>con un trend di</w:t>
      </w:r>
      <w:r>
        <w:t xml:space="preserve"> </w:t>
      </w:r>
      <w:r w:rsidRPr="00022873">
        <w:t xml:space="preserve">crescita che sembra non conoscere flessioni. </w:t>
      </w:r>
    </w:p>
    <w:p w:rsidR="00022873" w:rsidRPr="00022873" w:rsidRDefault="00022873" w:rsidP="008E4EF9">
      <w:pPr>
        <w:spacing w:before="120" w:after="0" w:line="276" w:lineRule="auto"/>
        <w:jc w:val="both"/>
      </w:pPr>
      <w:r w:rsidRPr="008E4EF9">
        <w:rPr>
          <w:b/>
        </w:rPr>
        <w:lastRenderedPageBreak/>
        <w:t>Dal 2009 al 2013 gli arrivi nelle città d’arte sono aumentati del 14,4%</w:t>
      </w:r>
      <w:r w:rsidRPr="00022873">
        <w:t xml:space="preserve"> (le presenze del 10,8%), con una performance</w:t>
      </w:r>
      <w:r>
        <w:t xml:space="preserve"> </w:t>
      </w:r>
      <w:r w:rsidRPr="00022873">
        <w:t>che è la migliore t</w:t>
      </w:r>
      <w:r w:rsidR="008E4EF9">
        <w:t xml:space="preserve">ra i diversi segmenti turistici; </w:t>
      </w:r>
      <w:r w:rsidR="008E4EF9" w:rsidRPr="008E4EF9">
        <w:rPr>
          <w:b/>
        </w:rPr>
        <w:t>nello stesso periodo gli arrivi nelle località marine sono scresciuti del 2,9% e in quelle montane del 5,2%</w:t>
      </w:r>
      <w:r w:rsidR="008E4EF9">
        <w:rPr>
          <w:b/>
        </w:rPr>
        <w:t>.</w:t>
      </w:r>
    </w:p>
    <w:p w:rsidR="00022873" w:rsidRPr="00723204" w:rsidRDefault="00022873" w:rsidP="00022873">
      <w:pPr>
        <w:jc w:val="both"/>
        <w:rPr>
          <w:rFonts w:ascii="Georgia" w:hAnsi="Georgia"/>
          <w:color w:val="333333"/>
        </w:rPr>
      </w:pPr>
    </w:p>
    <w:p w:rsidR="00022873" w:rsidRPr="00022873" w:rsidRDefault="00022873" w:rsidP="00022873">
      <w:pPr>
        <w:jc w:val="center"/>
        <w:rPr>
          <w:rFonts w:cs="Arial"/>
          <w:b/>
          <w:sz w:val="20"/>
        </w:rPr>
      </w:pPr>
      <w:r w:rsidRPr="00022873">
        <w:rPr>
          <w:rFonts w:cs="Arial"/>
          <w:b/>
          <w:sz w:val="20"/>
        </w:rPr>
        <w:t>Arrivi, incidenza % sul totale delle destinazioni</w:t>
      </w:r>
    </w:p>
    <w:p w:rsidR="00022873" w:rsidRDefault="00022873" w:rsidP="00022873">
      <w:pPr>
        <w:spacing w:after="120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inline distT="0" distB="0" distL="0" distR="0" wp14:anchorId="75A28FF5" wp14:editId="7879A4A9">
            <wp:extent cx="3838575" cy="2495550"/>
            <wp:effectExtent l="0" t="0" r="9525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22873" w:rsidRPr="004F72A5" w:rsidRDefault="00022873" w:rsidP="004F72A5">
      <w:pPr>
        <w:jc w:val="center"/>
        <w:rPr>
          <w:rFonts w:cs="Arial"/>
          <w:sz w:val="18"/>
          <w:szCs w:val="18"/>
        </w:rPr>
      </w:pPr>
      <w:r w:rsidRPr="004F72A5">
        <w:rPr>
          <w:rFonts w:cs="Arial"/>
          <w:sz w:val="18"/>
          <w:szCs w:val="18"/>
        </w:rPr>
        <w:t>Fonte: elaborazioni Federculture su dati Istat</w:t>
      </w:r>
    </w:p>
    <w:p w:rsidR="00022873" w:rsidRPr="00723204" w:rsidRDefault="00022873" w:rsidP="00022873">
      <w:pPr>
        <w:jc w:val="center"/>
        <w:rPr>
          <w:rFonts w:ascii="Georgia" w:hAnsi="Georgia" w:cs="Arial"/>
          <w:sz w:val="18"/>
          <w:szCs w:val="18"/>
        </w:rPr>
      </w:pPr>
    </w:p>
    <w:p w:rsidR="00022873" w:rsidRPr="00723204" w:rsidRDefault="00022873" w:rsidP="00022873">
      <w:pPr>
        <w:jc w:val="center"/>
        <w:rPr>
          <w:rFonts w:ascii="Georgia" w:hAnsi="Georgia" w:cs="Arial"/>
          <w:sz w:val="18"/>
          <w:szCs w:val="18"/>
        </w:rPr>
      </w:pPr>
    </w:p>
    <w:p w:rsidR="008E4EF9" w:rsidRDefault="008E4EF9" w:rsidP="008E4EF9">
      <w:pPr>
        <w:spacing w:before="120" w:after="0" w:line="276" w:lineRule="auto"/>
        <w:jc w:val="both"/>
      </w:pPr>
      <w:r w:rsidRPr="00022873">
        <w:t>Il turismo culturale rappresenta, inoltre, il settore più “ricco” in termini di</w:t>
      </w:r>
      <w:r>
        <w:t xml:space="preserve"> </w:t>
      </w:r>
      <w:r w:rsidRPr="00022873">
        <w:t>spesa</w:t>
      </w:r>
      <w:r>
        <w:t xml:space="preserve"> </w:t>
      </w:r>
      <w:r w:rsidRPr="00022873">
        <w:t xml:space="preserve">dei viaggiatori. </w:t>
      </w:r>
      <w:r w:rsidRPr="006C1F6D">
        <w:rPr>
          <w:b/>
        </w:rPr>
        <w:t>I turisti culturali nel 2014 hanno speso 12,5 miliardi di euro</w:t>
      </w:r>
      <w:r w:rsidRPr="00022873">
        <w:t xml:space="preserve"> (</w:t>
      </w:r>
      <w:r w:rsidRPr="006C1F6D">
        <w:rPr>
          <w:b/>
        </w:rPr>
        <w:t>131 euro in media per presenza</w:t>
      </w:r>
      <w:r>
        <w:t xml:space="preserve">), </w:t>
      </w:r>
      <w:r w:rsidRPr="006C1F6D">
        <w:rPr>
          <w:b/>
        </w:rPr>
        <w:t>in crescita del 5,6% sul 2013</w:t>
      </w:r>
      <w:r w:rsidRPr="00022873">
        <w:t>.</w:t>
      </w:r>
    </w:p>
    <w:p w:rsidR="008E4EF9" w:rsidRPr="008E4EF9" w:rsidRDefault="008E4EF9" w:rsidP="008E4EF9">
      <w:pPr>
        <w:spacing w:before="240" w:after="120" w:line="240" w:lineRule="auto"/>
        <w:jc w:val="center"/>
        <w:rPr>
          <w:sz w:val="20"/>
        </w:rPr>
      </w:pPr>
      <w:r w:rsidRPr="008E4EF9">
        <w:rPr>
          <w:rFonts w:ascii="Calibri" w:eastAsia="Times New Roman" w:hAnsi="Calibri" w:cs="Times New Roman"/>
          <w:b/>
          <w:bCs/>
          <w:color w:val="000000"/>
          <w:sz w:val="20"/>
          <w:lang w:eastAsia="it-IT"/>
        </w:rPr>
        <w:t xml:space="preserve">La spesa turistica per destinazione - </w:t>
      </w:r>
      <w:r w:rsidRPr="008E4EF9">
        <w:rPr>
          <w:rFonts w:ascii="Calibri" w:eastAsia="Times New Roman" w:hAnsi="Calibri" w:cs="Times New Roman"/>
          <w:bCs/>
          <w:color w:val="000000"/>
          <w:sz w:val="20"/>
          <w:lang w:eastAsia="it-IT"/>
        </w:rPr>
        <w:t>anno 2014</w:t>
      </w:r>
    </w:p>
    <w:tbl>
      <w:tblPr>
        <w:tblW w:w="4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580"/>
      </w:tblGrid>
      <w:tr w:rsidR="008E4EF9" w:rsidRPr="008E4EF9" w:rsidTr="008E4EF9">
        <w:trPr>
          <w:trHeight w:val="831"/>
          <w:jc w:val="center"/>
        </w:trPr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Destinazioni /</w:t>
            </w:r>
            <w:r w:rsidRPr="008E4E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br/>
              <w:t>segmenti turistici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Spesa media per presenza </w:t>
            </w:r>
            <w:r w:rsidRPr="008E4E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br/>
            </w:r>
            <w:r w:rsidRPr="008E4EF9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(euro)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Culturale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131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Balneare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88,5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Montano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106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Lacuale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84,4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Enogastronomico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117,5</w:t>
            </w:r>
          </w:p>
        </w:tc>
      </w:tr>
      <w:tr w:rsidR="008E4EF9" w:rsidRPr="008E4EF9" w:rsidTr="008E4EF9">
        <w:trPr>
          <w:trHeight w:val="300"/>
          <w:jc w:val="center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EF9" w:rsidRPr="008E4EF9" w:rsidRDefault="008E4EF9" w:rsidP="008E4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Verde/sport/altro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EF9" w:rsidRPr="008E4EF9" w:rsidRDefault="008E4EF9" w:rsidP="008E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E4EF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104</w:t>
            </w:r>
          </w:p>
        </w:tc>
      </w:tr>
    </w:tbl>
    <w:p w:rsidR="008E4EF9" w:rsidRPr="004F72A5" w:rsidRDefault="008E4EF9" w:rsidP="008E4E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</w:pPr>
      <w:r w:rsidRPr="004F72A5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 xml:space="preserve">Fonte: Banca d'Italia, </w:t>
      </w:r>
      <w:proofErr w:type="spellStart"/>
      <w:r w:rsidRPr="004F72A5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Ciset</w:t>
      </w:r>
      <w:proofErr w:type="spellEnd"/>
    </w:p>
    <w:p w:rsidR="00367680" w:rsidRPr="00AA0C71" w:rsidRDefault="00367680" w:rsidP="00C95581">
      <w:pPr>
        <w:spacing w:before="120" w:after="0" w:line="276" w:lineRule="auto"/>
      </w:pPr>
    </w:p>
    <w:sectPr w:rsidR="00367680" w:rsidRPr="00AA0C71" w:rsidSect="00A3483F">
      <w:headerReference w:type="default" r:id="rId23"/>
      <w:footerReference w:type="default" r:id="rId24"/>
      <w:pgSz w:w="11906" w:h="16838"/>
      <w:pgMar w:top="709" w:right="964" w:bottom="567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DB" w:rsidRDefault="00FD55DB" w:rsidP="00432EB0">
      <w:pPr>
        <w:spacing w:after="0" w:line="240" w:lineRule="auto"/>
      </w:pPr>
      <w:r>
        <w:separator/>
      </w:r>
    </w:p>
  </w:endnote>
  <w:endnote w:type="continuationSeparator" w:id="0">
    <w:p w:rsidR="00FD55DB" w:rsidRDefault="00FD55DB" w:rsidP="0043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Mix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Mix-LightCap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DB" w:rsidRPr="004F72A5" w:rsidRDefault="00FD55DB" w:rsidP="004F72A5">
    <w:pPr>
      <w:pStyle w:val="Pidipagina"/>
      <w:jc w:val="center"/>
      <w:rPr>
        <w:i/>
        <w:sz w:val="18"/>
        <w:szCs w:val="18"/>
      </w:rPr>
    </w:pPr>
    <w:r w:rsidRPr="004F72A5">
      <w:rPr>
        <w:i/>
        <w:sz w:val="18"/>
        <w:szCs w:val="18"/>
      </w:rPr>
      <w:t>“Cultura, identità e innovazione, la sfida per il Futuro”, 11° Rapporto Annuale Federculture 2015, 24Ore Cultura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DB" w:rsidRDefault="00FD55DB" w:rsidP="00432EB0">
      <w:pPr>
        <w:spacing w:after="0" w:line="240" w:lineRule="auto"/>
      </w:pPr>
      <w:r>
        <w:separator/>
      </w:r>
    </w:p>
  </w:footnote>
  <w:footnote w:type="continuationSeparator" w:id="0">
    <w:p w:rsidR="00FD55DB" w:rsidRDefault="00FD55DB" w:rsidP="0043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408562"/>
      <w:docPartObj>
        <w:docPartGallery w:val="Page Numbers (Margins)"/>
        <w:docPartUnique/>
      </w:docPartObj>
    </w:sdtPr>
    <w:sdtContent>
      <w:p w:rsidR="00FD55DB" w:rsidRDefault="00FD55DB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334800" cy="334800"/>
                  <wp:effectExtent l="0" t="0" r="8255" b="8255"/>
                  <wp:wrapNone/>
                  <wp:docPr id="14" name="Oval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34800" cy="3348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55DB" w:rsidRPr="00A3483F" w:rsidRDefault="00FD55DB" w:rsidP="00A3483F">
                              <w:pPr>
                                <w:jc w:val="center"/>
                                <w:rPr>
                                  <w:rStyle w:val="Numeropagina"/>
                                  <w:color w:val="44546A" w:themeColor="text2"/>
                                  <w:sz w:val="10"/>
                                  <w:szCs w:val="10"/>
                                </w:rPr>
                              </w:pPr>
                              <w:r w:rsidRPr="00A3483F">
                                <w:fldChar w:fldCharType="begin"/>
                              </w:r>
                              <w:r w:rsidRPr="00A3483F">
                                <w:rPr>
                                  <w:color w:val="44546A" w:themeColor="text2"/>
                                  <w:sz w:val="10"/>
                                  <w:szCs w:val="10"/>
                                </w:rPr>
                                <w:instrText>PAGE    \* MERGEFORMAT</w:instrText>
                              </w:r>
                              <w:r w:rsidRPr="00A3483F">
                                <w:fldChar w:fldCharType="separate"/>
                              </w:r>
                              <w:r w:rsidR="009D1A5E" w:rsidRPr="009D1A5E">
                                <w:rPr>
                                  <w:rStyle w:val="Numeropagina"/>
                                  <w:b/>
                                  <w:bCs/>
                                  <w:noProof/>
                                </w:rPr>
                                <w:t>12</w:t>
                              </w:r>
                              <w:r w:rsidRPr="00A3483F">
                                <w:rPr>
                                  <w:rStyle w:val="Numeropagina"/>
                                  <w:b/>
                                  <w:bCs/>
                                  <w:color w:val="44546A" w:themeColor="text2"/>
                                  <w:sz w:val="10"/>
                                  <w:szCs w:val="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4" o:spid="_x0000_s1028" style="position:absolute;margin-left:0;margin-top:0;width:26.35pt;height:26.35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HSGwIAACsEAAAOAAAAZHJzL2Uyb0RvYy54bWysU8Fu2zAMvQ/YPwi6L07SbCuMOEWRosOA&#10;bi3Q7gMYWY6FyaJGKbGzrx8lJ2m23YZdBJISHx8fqeXN0Fmx1xQMukrOJlMptFNYG7et5LeX+3fX&#10;UoQIrgaLTlfyoIO8Wb19s+x9qefYoq01CQZxoex9JdsYfVkUQbW6gzBBrx1fNkgdRHZpW9QEPaN3&#10;tphPpx+KHqn2hEqHwNG78VKuMn7TaBUfmyboKGwlmVvMJ+Vzk85itYRyS+Bbo4404B9YdGAcFz1D&#10;3UEEsSPzF1RnFGHAJk4UdgU2jVE698DdzKZ/dPPcgte5FxYn+LNM4f/Bqq/7JxKm5tktpHDQ8Ywe&#10;92C1YJ/F6X0o+c2zf6LUXvAPqL4H4XDdgtvq2+BZYk7m3FOICPtWQ80sZwmi+A0jOYHRxKb/gjVX&#10;g13ELN3QUJdqsChiyBM6nCekhygUB6+uFtdTnqPiq6OdKkB5SvYU4ieNnUhGJbW1xoekIZSwfwhx&#10;fH16lVtCa+p7Y2120t7ptSXBGlQyDvOcancdkx1jvHXMgHGg5DBv1xhmWmOYyeTtTSiZWrgsYF1K&#10;dJgKjlxSJEuUVBkFj8Nm4Msk1QbrA4tFOG4u/zQ2WqSfUvS8tZUMP3ZAWgr72bHgacWzsXj/cc4O&#10;naKbyyg4xRDcnhSjuY7jl9h5Mts2z3OkecvDaUxW7ZXNkS9vZO7v+HvSyl/6+dXrH1/9AgAA//8D&#10;AFBLAwQUAAYACAAAACEAcljCXtkAAAADAQAADwAAAGRycy9kb3ducmV2LnhtbEyPzU7DMBCE70i8&#10;g7VI3KhDJPoT4lRVK65UpEVw3MbbJCJeR7bThrfHwKG97Gg1q5lv8+VoOnEi51vLCh4nCQjiyuqW&#10;awX73cvDHIQPyBo7y6Tgmzwsi9ubHDNtz/xGpzLUIoawz1BBE0KfSemrhgz6ie2Jo3e0zmCIq6ul&#10;dniO4aaTaZJMpcGWY0ODPa0bqr7KwSg4bjcfC13ucNi+L9L9dONeP8uZUvd34+oZRKAxXI7hFz+i&#10;QxGZDnZg7UWnID4S/mb0ntIZiMO/yiKX1+zFDwAAAP//AwBQSwECLQAUAAYACAAAACEAtoM4kv4A&#10;AADhAQAAEwAAAAAAAAAAAAAAAAAAAAAAW0NvbnRlbnRfVHlwZXNdLnhtbFBLAQItABQABgAIAAAA&#10;IQA4/SH/1gAAAJQBAAALAAAAAAAAAAAAAAAAAC8BAABfcmVscy8ucmVsc1BLAQItABQABgAIAAAA&#10;IQCww9HSGwIAACsEAAAOAAAAAAAAAAAAAAAAAC4CAABkcnMvZTJvRG9jLnhtbFBLAQItABQABgAI&#10;AAAAIQByWMJe2QAAAAMBAAAPAAAAAAAAAAAAAAAAAHUEAABkcnMvZG93bnJldi54bWxQSwUGAAAA&#10;AAQABADzAAAAewUAAAAA&#10;" o:allowincell="f" fillcolor="#d5dce4 [671]" stroked="f">
                  <o:lock v:ext="edit" aspectratio="t"/>
                  <v:textbox inset="0,,0">
                    <w:txbxContent>
                      <w:p w:rsidR="00FD55DB" w:rsidRPr="00A3483F" w:rsidRDefault="00FD55DB" w:rsidP="00A3483F">
                        <w:pPr>
                          <w:jc w:val="center"/>
                          <w:rPr>
                            <w:rStyle w:val="Numeropagina"/>
                            <w:color w:val="44546A" w:themeColor="text2"/>
                            <w:sz w:val="10"/>
                            <w:szCs w:val="10"/>
                          </w:rPr>
                        </w:pPr>
                        <w:r w:rsidRPr="00A3483F">
                          <w:fldChar w:fldCharType="begin"/>
                        </w:r>
                        <w:r w:rsidRPr="00A3483F">
                          <w:rPr>
                            <w:color w:val="44546A" w:themeColor="text2"/>
                            <w:sz w:val="10"/>
                            <w:szCs w:val="10"/>
                          </w:rPr>
                          <w:instrText>PAGE    \* MERGEFORMAT</w:instrText>
                        </w:r>
                        <w:r w:rsidRPr="00A3483F">
                          <w:fldChar w:fldCharType="separate"/>
                        </w:r>
                        <w:r w:rsidR="009D1A5E" w:rsidRPr="009D1A5E">
                          <w:rPr>
                            <w:rStyle w:val="Numeropagina"/>
                            <w:b/>
                            <w:bCs/>
                            <w:noProof/>
                          </w:rPr>
                          <w:t>12</w:t>
                        </w:r>
                        <w:r w:rsidRPr="00A3483F">
                          <w:rPr>
                            <w:rStyle w:val="Numeropagina"/>
                            <w:b/>
                            <w:bCs/>
                            <w:color w:val="44546A" w:themeColor="text2"/>
                            <w:sz w:val="10"/>
                            <w:szCs w:val="1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8D"/>
    <w:multiLevelType w:val="hybridMultilevel"/>
    <w:tmpl w:val="6F904EA0"/>
    <w:lvl w:ilvl="0" w:tplc="BD749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5E7"/>
    <w:multiLevelType w:val="hybridMultilevel"/>
    <w:tmpl w:val="F5488F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CAA"/>
    <w:multiLevelType w:val="hybridMultilevel"/>
    <w:tmpl w:val="44FE2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132"/>
    <w:multiLevelType w:val="hybridMultilevel"/>
    <w:tmpl w:val="8B8C0A90"/>
    <w:lvl w:ilvl="0" w:tplc="6ADE5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110B"/>
    <w:multiLevelType w:val="hybridMultilevel"/>
    <w:tmpl w:val="6478CBB8"/>
    <w:lvl w:ilvl="0" w:tplc="A22E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30F"/>
    <w:multiLevelType w:val="hybridMultilevel"/>
    <w:tmpl w:val="F9783408"/>
    <w:lvl w:ilvl="0" w:tplc="1AC20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15A2"/>
    <w:multiLevelType w:val="hybridMultilevel"/>
    <w:tmpl w:val="2CAC0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341D"/>
    <w:multiLevelType w:val="hybridMultilevel"/>
    <w:tmpl w:val="E48A2404"/>
    <w:lvl w:ilvl="0" w:tplc="1AC20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5944"/>
    <w:multiLevelType w:val="hybridMultilevel"/>
    <w:tmpl w:val="7A128C7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7D062AFA"/>
    <w:multiLevelType w:val="hybridMultilevel"/>
    <w:tmpl w:val="F63C00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34"/>
    <w:rsid w:val="00017D54"/>
    <w:rsid w:val="00021649"/>
    <w:rsid w:val="00022873"/>
    <w:rsid w:val="00030DBD"/>
    <w:rsid w:val="00044B26"/>
    <w:rsid w:val="0004768D"/>
    <w:rsid w:val="00052946"/>
    <w:rsid w:val="00062F19"/>
    <w:rsid w:val="000811F4"/>
    <w:rsid w:val="00082883"/>
    <w:rsid w:val="00086010"/>
    <w:rsid w:val="00091CF9"/>
    <w:rsid w:val="000937DF"/>
    <w:rsid w:val="000A1B16"/>
    <w:rsid w:val="00131C88"/>
    <w:rsid w:val="001401E9"/>
    <w:rsid w:val="0014424A"/>
    <w:rsid w:val="00150D66"/>
    <w:rsid w:val="00164730"/>
    <w:rsid w:val="001A7D2D"/>
    <w:rsid w:val="001E5570"/>
    <w:rsid w:val="001E6291"/>
    <w:rsid w:val="00213ED8"/>
    <w:rsid w:val="002231CD"/>
    <w:rsid w:val="002248A4"/>
    <w:rsid w:val="00252BBE"/>
    <w:rsid w:val="00260724"/>
    <w:rsid w:val="00260F98"/>
    <w:rsid w:val="002844BB"/>
    <w:rsid w:val="00291392"/>
    <w:rsid w:val="00296335"/>
    <w:rsid w:val="002A1B2B"/>
    <w:rsid w:val="002B602A"/>
    <w:rsid w:val="002D2C03"/>
    <w:rsid w:val="002D3E5C"/>
    <w:rsid w:val="002D54B0"/>
    <w:rsid w:val="002F60EB"/>
    <w:rsid w:val="00304097"/>
    <w:rsid w:val="00306F61"/>
    <w:rsid w:val="00311495"/>
    <w:rsid w:val="00316319"/>
    <w:rsid w:val="003249B3"/>
    <w:rsid w:val="00331C30"/>
    <w:rsid w:val="00335B81"/>
    <w:rsid w:val="00343EC8"/>
    <w:rsid w:val="00344719"/>
    <w:rsid w:val="00356EF6"/>
    <w:rsid w:val="00361417"/>
    <w:rsid w:val="00367680"/>
    <w:rsid w:val="00370358"/>
    <w:rsid w:val="003A586E"/>
    <w:rsid w:val="003B4163"/>
    <w:rsid w:val="003C29B7"/>
    <w:rsid w:val="003E2F09"/>
    <w:rsid w:val="00401AAB"/>
    <w:rsid w:val="004121A3"/>
    <w:rsid w:val="00432EB0"/>
    <w:rsid w:val="00455266"/>
    <w:rsid w:val="0049426E"/>
    <w:rsid w:val="004A2F3D"/>
    <w:rsid w:val="004B2F74"/>
    <w:rsid w:val="004C5A1D"/>
    <w:rsid w:val="004C5D54"/>
    <w:rsid w:val="004D07E5"/>
    <w:rsid w:val="004E56E9"/>
    <w:rsid w:val="004E5B6C"/>
    <w:rsid w:val="004E77AB"/>
    <w:rsid w:val="004F72A5"/>
    <w:rsid w:val="005166A0"/>
    <w:rsid w:val="00516C83"/>
    <w:rsid w:val="00540C67"/>
    <w:rsid w:val="00564B3E"/>
    <w:rsid w:val="00572ADC"/>
    <w:rsid w:val="0057365C"/>
    <w:rsid w:val="005A2A52"/>
    <w:rsid w:val="005A3A6F"/>
    <w:rsid w:val="005B0FD6"/>
    <w:rsid w:val="005D04FA"/>
    <w:rsid w:val="005D6032"/>
    <w:rsid w:val="005E5344"/>
    <w:rsid w:val="005F027B"/>
    <w:rsid w:val="005F1FE4"/>
    <w:rsid w:val="005F2C18"/>
    <w:rsid w:val="006372EB"/>
    <w:rsid w:val="0065184C"/>
    <w:rsid w:val="0067424A"/>
    <w:rsid w:val="0068705C"/>
    <w:rsid w:val="006C0509"/>
    <w:rsid w:val="006C1F6D"/>
    <w:rsid w:val="006D7D4E"/>
    <w:rsid w:val="006E036F"/>
    <w:rsid w:val="006E043F"/>
    <w:rsid w:val="006E1301"/>
    <w:rsid w:val="006E4DEF"/>
    <w:rsid w:val="00702905"/>
    <w:rsid w:val="007066A4"/>
    <w:rsid w:val="00706D3A"/>
    <w:rsid w:val="007276B1"/>
    <w:rsid w:val="0074642C"/>
    <w:rsid w:val="00771E75"/>
    <w:rsid w:val="007A56A1"/>
    <w:rsid w:val="007B0CD4"/>
    <w:rsid w:val="007B4F3A"/>
    <w:rsid w:val="007D28F7"/>
    <w:rsid w:val="007D5F0F"/>
    <w:rsid w:val="007E084B"/>
    <w:rsid w:val="007E1F40"/>
    <w:rsid w:val="007E7D37"/>
    <w:rsid w:val="007F4046"/>
    <w:rsid w:val="00834AF5"/>
    <w:rsid w:val="008445C1"/>
    <w:rsid w:val="008451C5"/>
    <w:rsid w:val="00850585"/>
    <w:rsid w:val="008618D0"/>
    <w:rsid w:val="0088502F"/>
    <w:rsid w:val="0088596F"/>
    <w:rsid w:val="00885DC0"/>
    <w:rsid w:val="008928CD"/>
    <w:rsid w:val="00893DD1"/>
    <w:rsid w:val="008B42A4"/>
    <w:rsid w:val="008E4EF9"/>
    <w:rsid w:val="008F49A1"/>
    <w:rsid w:val="00906147"/>
    <w:rsid w:val="00906BD9"/>
    <w:rsid w:val="00910C1F"/>
    <w:rsid w:val="00913ACB"/>
    <w:rsid w:val="00920E19"/>
    <w:rsid w:val="00932C00"/>
    <w:rsid w:val="00940C62"/>
    <w:rsid w:val="00944F4A"/>
    <w:rsid w:val="009501B7"/>
    <w:rsid w:val="009875C8"/>
    <w:rsid w:val="009B390A"/>
    <w:rsid w:val="009D1A5E"/>
    <w:rsid w:val="009F4E77"/>
    <w:rsid w:val="009F7D0A"/>
    <w:rsid w:val="00A02E3C"/>
    <w:rsid w:val="00A045E5"/>
    <w:rsid w:val="00A17B1C"/>
    <w:rsid w:val="00A2657C"/>
    <w:rsid w:val="00A26D0B"/>
    <w:rsid w:val="00A3483F"/>
    <w:rsid w:val="00A35C54"/>
    <w:rsid w:val="00A5024C"/>
    <w:rsid w:val="00A648AA"/>
    <w:rsid w:val="00A75470"/>
    <w:rsid w:val="00A77AE7"/>
    <w:rsid w:val="00A86334"/>
    <w:rsid w:val="00AA0C71"/>
    <w:rsid w:val="00AB2FEE"/>
    <w:rsid w:val="00AB66AE"/>
    <w:rsid w:val="00AB73D9"/>
    <w:rsid w:val="00AD12DB"/>
    <w:rsid w:val="00AD1A0A"/>
    <w:rsid w:val="00AE75D7"/>
    <w:rsid w:val="00AF44D7"/>
    <w:rsid w:val="00B1568A"/>
    <w:rsid w:val="00B1751E"/>
    <w:rsid w:val="00B56F39"/>
    <w:rsid w:val="00B72ED9"/>
    <w:rsid w:val="00B774A8"/>
    <w:rsid w:val="00BB037E"/>
    <w:rsid w:val="00BD7A6C"/>
    <w:rsid w:val="00BF14CA"/>
    <w:rsid w:val="00C060CD"/>
    <w:rsid w:val="00C13537"/>
    <w:rsid w:val="00C16F95"/>
    <w:rsid w:val="00C27F13"/>
    <w:rsid w:val="00C3503B"/>
    <w:rsid w:val="00C377B2"/>
    <w:rsid w:val="00C410BF"/>
    <w:rsid w:val="00C42AE5"/>
    <w:rsid w:val="00C45AE5"/>
    <w:rsid w:val="00C94777"/>
    <w:rsid w:val="00C95581"/>
    <w:rsid w:val="00C96CC5"/>
    <w:rsid w:val="00CA19C0"/>
    <w:rsid w:val="00CA1F12"/>
    <w:rsid w:val="00CA511F"/>
    <w:rsid w:val="00CA6433"/>
    <w:rsid w:val="00CF4B4D"/>
    <w:rsid w:val="00CF5C5D"/>
    <w:rsid w:val="00D17389"/>
    <w:rsid w:val="00D40E20"/>
    <w:rsid w:val="00D575E8"/>
    <w:rsid w:val="00D5786A"/>
    <w:rsid w:val="00D63D54"/>
    <w:rsid w:val="00D72193"/>
    <w:rsid w:val="00D81374"/>
    <w:rsid w:val="00D86195"/>
    <w:rsid w:val="00D87EDC"/>
    <w:rsid w:val="00DA3B82"/>
    <w:rsid w:val="00DA68B7"/>
    <w:rsid w:val="00DA7334"/>
    <w:rsid w:val="00DB1F4E"/>
    <w:rsid w:val="00DF4CC8"/>
    <w:rsid w:val="00E029DA"/>
    <w:rsid w:val="00E10021"/>
    <w:rsid w:val="00E268E5"/>
    <w:rsid w:val="00E44DC2"/>
    <w:rsid w:val="00E52254"/>
    <w:rsid w:val="00E53398"/>
    <w:rsid w:val="00E57E03"/>
    <w:rsid w:val="00E708E2"/>
    <w:rsid w:val="00E820A4"/>
    <w:rsid w:val="00E9760E"/>
    <w:rsid w:val="00EC5021"/>
    <w:rsid w:val="00ED1D9E"/>
    <w:rsid w:val="00EF35A4"/>
    <w:rsid w:val="00F13556"/>
    <w:rsid w:val="00F2586F"/>
    <w:rsid w:val="00F31F99"/>
    <w:rsid w:val="00F53234"/>
    <w:rsid w:val="00F6555D"/>
    <w:rsid w:val="00F7766C"/>
    <w:rsid w:val="00F8589C"/>
    <w:rsid w:val="00F85BD0"/>
    <w:rsid w:val="00FB35DF"/>
    <w:rsid w:val="00FB54B5"/>
    <w:rsid w:val="00FD12DB"/>
    <w:rsid w:val="00FD38DD"/>
    <w:rsid w:val="00FD55DB"/>
    <w:rsid w:val="00FF35B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D3C4C08-44EA-41A4-9A7C-E97F01E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2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6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EB0"/>
  </w:style>
  <w:style w:type="paragraph" w:styleId="Pidipagina">
    <w:name w:val="footer"/>
    <w:basedOn w:val="Normale"/>
    <w:link w:val="PidipaginaCarattere"/>
    <w:uiPriority w:val="99"/>
    <w:unhideWhenUsed/>
    <w:rsid w:val="0043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EB0"/>
  </w:style>
  <w:style w:type="paragraph" w:styleId="NormaleWeb">
    <w:name w:val="Normal (Web)"/>
    <w:basedOn w:val="Normale"/>
    <w:uiPriority w:val="99"/>
    <w:semiHidden/>
    <w:unhideWhenUsed/>
    <w:rsid w:val="005F0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A3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Schede%20aggiornate_15-05-201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rte\CAMALEONTE\Rapporto%20Annuale\XI%20Rapporto%20Annuale\Appendice\Appendice%20dati%20statistici_29-04-2015_EF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rte\CAMALEONTE\Rapporto%20Annuale\XI%20Rapporto%20Annuale\Appendice\Appendice%20dati%20statistici_29-04-2015_E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070989485616803E-2"/>
          <c:y val="0.10441508770926207"/>
          <c:w val="0.87963206877796907"/>
          <c:h val="0.71265399687000719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6279066977013837E-2"/>
                  <c:y val="4.9209010744160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808092830576184E-2"/>
                  <c:y val="-5.3712872221907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707026873472681E-2"/>
                  <c:y val="4.4937782057818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331796055331996E-2"/>
                  <c:y val="-2.8957117770350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3966837014453974E-2"/>
                  <c:y val="6.3579933383529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343459156741901E-3"/>
                  <c:y val="8.12031802345608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855930391380544E-2"/>
                  <c:y val="-4.9563624690798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8187715848249899E-2"/>
                  <c:y val="4.4316546762589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4035780346398205E-3"/>
                  <c:y val="-1.4374353935093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9.0723137323711969E-2"/>
                  <c:y val="1.0892686226215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4966551882966E-2"/>
                  <c:y val="-4.0003062826222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92354284837880263"/>
                  <c:y val="0.248128347481506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P.21!$C$6:$M$6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P.21!$C$7:$M$7</c:f>
              <c:numCache>
                <c:formatCode>#,##0</c:formatCode>
                <c:ptCount val="11"/>
                <c:pt idx="0">
                  <c:v>62452.446978</c:v>
                </c:pt>
                <c:pt idx="1">
                  <c:v>61663.568890000002</c:v>
                </c:pt>
                <c:pt idx="2">
                  <c:v>64625.404786999999</c:v>
                </c:pt>
                <c:pt idx="3">
                  <c:v>67356.513143999997</c:v>
                </c:pt>
                <c:pt idx="4">
                  <c:v>67022.659589999996</c:v>
                </c:pt>
                <c:pt idx="5">
                  <c:v>67024.834056000007</c:v>
                </c:pt>
                <c:pt idx="6">
                  <c:v>70589.457756000003</c:v>
                </c:pt>
                <c:pt idx="7">
                  <c:v>72127.330224000005</c:v>
                </c:pt>
                <c:pt idx="8">
                  <c:v>68428.933034000001</c:v>
                </c:pt>
                <c:pt idx="9">
                  <c:v>64788.098559999999</c:v>
                </c:pt>
                <c:pt idx="10">
                  <c:v>66122.510920999994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8240"/>
        <c:axId val="5256072"/>
      </c:lineChart>
      <c:catAx>
        <c:axId val="52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it-IT"/>
          </a:p>
        </c:txPr>
        <c:crossAx val="5256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56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52582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P.16!$D$86</c:f>
              <c:strCache>
                <c:ptCount val="1"/>
                <c:pt idx="0">
                  <c:v>Minori risorse (somma interventi CCIAA+effetti moltiplicativi*)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P.16!$B$87:$B$89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P.16!$D$87:$D$89</c:f>
              <c:numCache>
                <c:formatCode>_-* #,##0_-;\-* #,##0_-;_-* "-"??_-;_-@_-</c:formatCode>
                <c:ptCount val="3"/>
                <c:pt idx="0">
                  <c:v>-93840055</c:v>
                </c:pt>
                <c:pt idx="1">
                  <c:v>-107245777</c:v>
                </c:pt>
                <c:pt idx="2">
                  <c:v>-139401617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0888168"/>
        <c:axId val="1308885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P.16!$B$86</c15:sqref>
                        </c15:formulaRef>
                      </c:ext>
                    </c:extLst>
                    <c:strCache>
                      <c:ptCount val="1"/>
                      <c:pt idx="0">
                        <c:v>Anni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it-IT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P.16!$B$87:$B$89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P.16!$B$87:$B$89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13088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88560"/>
        <c:crosses val="autoZero"/>
        <c:auto val="1"/>
        <c:lblAlgn val="ctr"/>
        <c:lblOffset val="100"/>
        <c:noMultiLvlLbl val="0"/>
      </c:catAx>
      <c:valAx>
        <c:axId val="13088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88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682522185989906E-2"/>
          <c:y val="7.4939023317717832E-2"/>
          <c:w val="0.86611071986881472"/>
          <c:h val="0.8317432002204547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P.13!$G$65:$O$65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P.13!$G$66:$O$66</c:f>
              <c:numCache>
                <c:formatCode>#,##0</c:formatCode>
                <c:ptCount val="9"/>
                <c:pt idx="0">
                  <c:v>2605</c:v>
                </c:pt>
                <c:pt idx="1">
                  <c:v>2512</c:v>
                </c:pt>
                <c:pt idx="2">
                  <c:v>2477</c:v>
                </c:pt>
                <c:pt idx="3">
                  <c:v>2462</c:v>
                </c:pt>
                <c:pt idx="4">
                  <c:v>2368</c:v>
                </c:pt>
                <c:pt idx="5">
                  <c:v>2399</c:v>
                </c:pt>
                <c:pt idx="6">
                  <c:v>2135</c:v>
                </c:pt>
                <c:pt idx="7">
                  <c:v>1935</c:v>
                </c:pt>
                <c:pt idx="8">
                  <c:v>1990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350960"/>
        <c:axId val="131351352"/>
        <c:extLst/>
      </c:barChart>
      <c:catAx>
        <c:axId val="13135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351352"/>
        <c:crosses val="autoZero"/>
        <c:auto val="1"/>
        <c:lblAlgn val="ctr"/>
        <c:lblOffset val="100"/>
        <c:noMultiLvlLbl val="0"/>
      </c:catAx>
      <c:valAx>
        <c:axId val="1313513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3509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900"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P.39!$C$92</c:f>
              <c:strCache>
                <c:ptCount val="1"/>
                <c:pt idx="0">
                  <c:v>Var.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P.39!$D$91:$I$91</c:f>
              <c:strCache>
                <c:ptCount val="6"/>
                <c:pt idx="0">
                  <c:v>2009/2008</c:v>
                </c:pt>
                <c:pt idx="1">
                  <c:v>2010/2009</c:v>
                </c:pt>
                <c:pt idx="2">
                  <c:v>2011/2010</c:v>
                </c:pt>
                <c:pt idx="3">
                  <c:v>2012/2011</c:v>
                </c:pt>
                <c:pt idx="4">
                  <c:v>2013/2012</c:v>
                </c:pt>
                <c:pt idx="5">
                  <c:v>2014/2013</c:v>
                </c:pt>
              </c:strCache>
            </c:strRef>
          </c:cat>
          <c:val>
            <c:numRef>
              <c:f>P.39!$D$92:$I$92</c:f>
              <c:numCache>
                <c:formatCode>0.0%</c:formatCode>
                <c:ptCount val="6"/>
                <c:pt idx="0">
                  <c:v>1.1999773589177563E-2</c:v>
                </c:pt>
                <c:pt idx="1">
                  <c:v>1.5582526986967951E-2</c:v>
                </c:pt>
                <c:pt idx="2">
                  <c:v>5.2958540776314053E-2</c:v>
                </c:pt>
                <c:pt idx="3">
                  <c:v>2.0984141595882674E-2</c:v>
                </c:pt>
                <c:pt idx="4">
                  <c:v>2.6177742259379931E-2</c:v>
                </c:pt>
                <c:pt idx="5">
                  <c:v>2.2235090907275577E-2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352136"/>
        <c:axId val="131352528"/>
      </c:lineChart>
      <c:catAx>
        <c:axId val="13135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352528"/>
        <c:crosses val="autoZero"/>
        <c:auto val="1"/>
        <c:lblAlgn val="ctr"/>
        <c:lblOffset val="100"/>
        <c:noMultiLvlLbl val="0"/>
      </c:catAx>
      <c:valAx>
        <c:axId val="13135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35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76553847909947E-2"/>
          <c:y val="0.12988763125629441"/>
          <c:w val="0.55981701847309473"/>
          <c:h val="0.87011236874370557"/>
        </c:manualLayout>
      </c:layout>
      <c:pie3DChart>
        <c:varyColors val="1"/>
        <c:ser>
          <c:idx val="0"/>
          <c:order val="0"/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P.39!$B$55:$B$59</c:f>
              <c:strCache>
                <c:ptCount val="5"/>
                <c:pt idx="0">
                  <c:v>NORD-OVEST</c:v>
                </c:pt>
                <c:pt idx="1">
                  <c:v>NORD-EST</c:v>
                </c:pt>
                <c:pt idx="2">
                  <c:v>CENTRO</c:v>
                </c:pt>
                <c:pt idx="3">
                  <c:v>SUD E ISOLE</c:v>
                </c:pt>
                <c:pt idx="4">
                  <c:v>DATI NON RIPARTIBILI</c:v>
                </c:pt>
              </c:strCache>
            </c:strRef>
          </c:cat>
          <c:val>
            <c:numRef>
              <c:f>P.39!$E$55:$E$59</c:f>
              <c:numCache>
                <c:formatCode>0.0%</c:formatCode>
                <c:ptCount val="5"/>
                <c:pt idx="0">
                  <c:v>0.32603727144866385</c:v>
                </c:pt>
                <c:pt idx="1">
                  <c:v>0.31557665260196904</c:v>
                </c:pt>
                <c:pt idx="2">
                  <c:v>0.20419206125957182</c:v>
                </c:pt>
                <c:pt idx="3">
                  <c:v>8.2620331301765895E-2</c:v>
                </c:pt>
                <c:pt idx="4">
                  <c:v>7.1573683388029385E-2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02304147465469"/>
          <c:y val="3.5021531627247172E-2"/>
          <c:w val="0.22350230414746569"/>
          <c:h val="0.94120524170890951"/>
        </c:manualLayout>
      </c:layout>
      <c:overlay val="0"/>
      <c:txPr>
        <a:bodyPr/>
        <a:lstStyle/>
        <a:p>
          <a:pPr>
            <a:defRPr sz="800"/>
          </a:pPr>
          <a:endParaRPr lang="it-IT"/>
        </a:p>
      </c:txPr>
    </c:legend>
    <c:plotVisOnly val="1"/>
    <c:dispBlanksAs val="zero"/>
    <c:showDLblsOverMax val="0"/>
  </c:chart>
  <c:txPr>
    <a:bodyPr/>
    <a:lstStyle/>
    <a:p>
      <a:pPr>
        <a:defRPr sz="900"/>
      </a:pPr>
      <a:endParaRPr lang="it-IT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'\\Marte\camaleonte\Users\Ela\AppData\Local\Microsoft\Windows\Temporary Internet Files\Content.IE5\0H9TU977\[Cartel1.xlsx]P.43b'!$B$75</c:f>
              <c:strCache>
                <c:ptCount val="1"/>
                <c:pt idx="0">
                  <c:v>arrivi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737102961385423"/>
                  <c:y val="6.1988739957123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6195358954820474"/>
                  <c:y val="3.304401835266775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719583439166879E-2"/>
                  <c:y val="6.274047805093065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5106934213868428"/>
                  <c:y val="1.157460279297148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076399825021865"/>
                      <c:h val="0.16645851560221639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[1]P.43b!$C$74:$H$74</c:f>
              <c:strCache>
                <c:ptCount val="6"/>
                <c:pt idx="0">
                  <c:v>  città di interesse storico e artistico</c:v>
                </c:pt>
                <c:pt idx="1">
                  <c:v>  località montane</c:v>
                </c:pt>
                <c:pt idx="2">
                  <c:v>  località lacuali</c:v>
                </c:pt>
                <c:pt idx="3">
                  <c:v>  località marine</c:v>
                </c:pt>
                <c:pt idx="4">
                  <c:v>  località termali</c:v>
                </c:pt>
                <c:pt idx="5">
                  <c:v>  località collinari e di interesse vario</c:v>
                </c:pt>
              </c:strCache>
            </c:strRef>
          </c:cat>
          <c:val>
            <c:numRef>
              <c:f>[1]P.43b!$C$75:$H$75</c:f>
              <c:numCache>
                <c:formatCode>General</c:formatCode>
                <c:ptCount val="6"/>
                <c:pt idx="0">
                  <c:v>0.36388312512703092</c:v>
                </c:pt>
                <c:pt idx="1">
                  <c:v>0.10185166873943856</c:v>
                </c:pt>
                <c:pt idx="2">
                  <c:v>6.1014198286908669E-2</c:v>
                </c:pt>
                <c:pt idx="3">
                  <c:v>0.21226915038561067</c:v>
                </c:pt>
                <c:pt idx="4">
                  <c:v>3.3913751186303666E-2</c:v>
                </c:pt>
                <c:pt idx="5">
                  <c:v>3.9725019215303151E-2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626921634795687E-2"/>
          <c:y val="3.8694118522799248E-2"/>
          <c:w val="0.90230664857530529"/>
          <c:h val="0.879669832059275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2.929752542207102E-3"/>
                  <c:y val="-5.97594064166342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953321364451128E-3"/>
                  <c:y val="-4.49438202247192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2840722495896136E-3"/>
                  <c:y val="-6.653230486255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7466726009820028E-3"/>
                  <c:y val="-2.3346613738333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P.24!$B$54:$B$61</c:f>
              <c:strCache>
                <c:ptCount val="8"/>
                <c:pt idx="0">
                  <c:v>Teatro  </c:v>
                </c:pt>
                <c:pt idx="1">
                  <c:v>Cinema  </c:v>
                </c:pt>
                <c:pt idx="2">
                  <c:v>Musei, Mostre  </c:v>
                </c:pt>
                <c:pt idx="3">
                  <c:v>Concerti di musica classica  </c:v>
                </c:pt>
                <c:pt idx="4">
                  <c:v>Altri concerti di musica *  </c:v>
                </c:pt>
                <c:pt idx="5">
                  <c:v>Spettacoli sportivi  </c:v>
                </c:pt>
                <c:pt idx="6">
                  <c:v>Discoteche, balere, ecc.  </c:v>
                </c:pt>
                <c:pt idx="7">
                  <c:v>Siti archeologici e monumenti  </c:v>
                </c:pt>
              </c:strCache>
            </c:strRef>
          </c:cat>
          <c:val>
            <c:numRef>
              <c:f>P.24!$C$54:$C$61</c:f>
              <c:numCache>
                <c:formatCode>0.0%</c:formatCode>
                <c:ptCount val="8"/>
                <c:pt idx="0">
                  <c:v>2.1621621621621546E-2</c:v>
                </c:pt>
                <c:pt idx="1">
                  <c:v>1.7021276595744619E-2</c:v>
                </c:pt>
                <c:pt idx="2">
                  <c:v>7.7220077220077218E-2</c:v>
                </c:pt>
                <c:pt idx="3">
                  <c:v>2.1978021978022098E-2</c:v>
                </c:pt>
                <c:pt idx="4">
                  <c:v>2.247191011235947E-2</c:v>
                </c:pt>
                <c:pt idx="5">
                  <c:v>3.2786885245901669E-2</c:v>
                </c:pt>
                <c:pt idx="6">
                  <c:v>-1.0204081632653206E-2</c:v>
                </c:pt>
                <c:pt idx="7">
                  <c:v>5.7971014492753589E-2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33696"/>
        <c:axId val="130551848"/>
      </c:barChart>
      <c:catAx>
        <c:axId val="1305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51848"/>
        <c:crosses val="autoZero"/>
        <c:auto val="1"/>
        <c:lblAlgn val="ctr"/>
        <c:lblOffset val="100"/>
        <c:noMultiLvlLbl val="0"/>
      </c:catAx>
      <c:valAx>
        <c:axId val="130551848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533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P.25!$B$59</c:f>
              <c:strCache>
                <c:ptCount val="1"/>
                <c:pt idx="0">
                  <c:v>Nord-ovest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P.25!$C$58:$H$58</c:f>
              <c:strCache>
                <c:ptCount val="6"/>
                <c:pt idx="0">
                  <c:v>Musei, mostre</c:v>
                </c:pt>
                <c:pt idx="1">
                  <c:v>Siti archeologici, monumenti</c:v>
                </c:pt>
                <c:pt idx="2">
                  <c:v>Concerti di musica classica</c:v>
                </c:pt>
                <c:pt idx="3">
                  <c:v>Altri concerti</c:v>
                </c:pt>
                <c:pt idx="4">
                  <c:v>Teatro</c:v>
                </c:pt>
                <c:pt idx="5">
                  <c:v>Cinema</c:v>
                </c:pt>
              </c:strCache>
            </c:strRef>
          </c:cat>
          <c:val>
            <c:numRef>
              <c:f>P.25!$C$59:$H$59</c:f>
              <c:numCache>
                <c:formatCode>0.0</c:formatCode>
                <c:ptCount val="6"/>
                <c:pt idx="0">
                  <c:v>33.6</c:v>
                </c:pt>
                <c:pt idx="1">
                  <c:v>24.2</c:v>
                </c:pt>
                <c:pt idx="2">
                  <c:v>9.6999999999999993</c:v>
                </c:pt>
                <c:pt idx="3">
                  <c:v>18.100000000000001</c:v>
                </c:pt>
                <c:pt idx="4">
                  <c:v>20.3</c:v>
                </c:pt>
                <c:pt idx="5">
                  <c:v>48.3</c:v>
                </c:pt>
              </c:numCache>
            </c:numRef>
          </c:val>
        </c:ser>
        <c:ser>
          <c:idx val="1"/>
          <c:order val="1"/>
          <c:tx>
            <c:strRef>
              <c:f>P.25!$B$60</c:f>
              <c:strCache>
                <c:ptCount val="1"/>
                <c:pt idx="0">
                  <c:v>Nord-est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P.25!$C$58:$H$58</c:f>
              <c:strCache>
                <c:ptCount val="6"/>
                <c:pt idx="0">
                  <c:v>Musei, mostre</c:v>
                </c:pt>
                <c:pt idx="1">
                  <c:v>Siti archeologici, monumenti</c:v>
                </c:pt>
                <c:pt idx="2">
                  <c:v>Concerti di musica classica</c:v>
                </c:pt>
                <c:pt idx="3">
                  <c:v>Altri concerti</c:v>
                </c:pt>
                <c:pt idx="4">
                  <c:v>Teatro</c:v>
                </c:pt>
                <c:pt idx="5">
                  <c:v>Cinema</c:v>
                </c:pt>
              </c:strCache>
            </c:strRef>
          </c:cat>
          <c:val>
            <c:numRef>
              <c:f>P.25!$C$60:$H$60</c:f>
              <c:numCache>
                <c:formatCode>0.0</c:formatCode>
                <c:ptCount val="6"/>
                <c:pt idx="0">
                  <c:v>33.6</c:v>
                </c:pt>
                <c:pt idx="1">
                  <c:v>25</c:v>
                </c:pt>
                <c:pt idx="2">
                  <c:v>10.6</c:v>
                </c:pt>
                <c:pt idx="3">
                  <c:v>19.5</c:v>
                </c:pt>
                <c:pt idx="4">
                  <c:v>20.2</c:v>
                </c:pt>
                <c:pt idx="5">
                  <c:v>46.6</c:v>
                </c:pt>
              </c:numCache>
            </c:numRef>
          </c:val>
        </c:ser>
        <c:ser>
          <c:idx val="2"/>
          <c:order val="2"/>
          <c:tx>
            <c:strRef>
              <c:f>P.25!$B$61</c:f>
              <c:strCache>
                <c:ptCount val="1"/>
                <c:pt idx="0">
                  <c:v>Centro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P.25!$C$58:$H$58</c:f>
              <c:strCache>
                <c:ptCount val="6"/>
                <c:pt idx="0">
                  <c:v>Musei, mostre</c:v>
                </c:pt>
                <c:pt idx="1">
                  <c:v>Siti archeologici, monumenti</c:v>
                </c:pt>
                <c:pt idx="2">
                  <c:v>Concerti di musica classica</c:v>
                </c:pt>
                <c:pt idx="3">
                  <c:v>Altri concerti</c:v>
                </c:pt>
                <c:pt idx="4">
                  <c:v>Teatro</c:v>
                </c:pt>
                <c:pt idx="5">
                  <c:v>Cinema</c:v>
                </c:pt>
              </c:strCache>
            </c:strRef>
          </c:cat>
          <c:val>
            <c:numRef>
              <c:f>P.25!$C$61:$H$61</c:f>
              <c:numCache>
                <c:formatCode>0.0</c:formatCode>
                <c:ptCount val="6"/>
                <c:pt idx="0">
                  <c:v>32.9</c:v>
                </c:pt>
                <c:pt idx="1">
                  <c:v>27.2</c:v>
                </c:pt>
                <c:pt idx="2">
                  <c:v>11.5</c:v>
                </c:pt>
                <c:pt idx="3">
                  <c:v>19.600000000000001</c:v>
                </c:pt>
                <c:pt idx="4">
                  <c:v>23.7</c:v>
                </c:pt>
                <c:pt idx="5">
                  <c:v>53.3</c:v>
                </c:pt>
              </c:numCache>
            </c:numRef>
          </c:val>
        </c:ser>
        <c:ser>
          <c:idx val="3"/>
          <c:order val="3"/>
          <c:tx>
            <c:strRef>
              <c:f>P.25!$B$62</c:f>
              <c:strCache>
                <c:ptCount val="1"/>
                <c:pt idx="0">
                  <c:v>Sud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P.25!$C$58:$H$58</c:f>
              <c:strCache>
                <c:ptCount val="6"/>
                <c:pt idx="0">
                  <c:v>Musei, mostre</c:v>
                </c:pt>
                <c:pt idx="1">
                  <c:v>Siti archeologici, monumenti</c:v>
                </c:pt>
                <c:pt idx="2">
                  <c:v>Concerti di musica classica</c:v>
                </c:pt>
                <c:pt idx="3">
                  <c:v>Altri concerti</c:v>
                </c:pt>
                <c:pt idx="4">
                  <c:v>Teatro</c:v>
                </c:pt>
                <c:pt idx="5">
                  <c:v>Cinema</c:v>
                </c:pt>
              </c:strCache>
            </c:strRef>
          </c:cat>
          <c:val>
            <c:numRef>
              <c:f>P.25!$C$62:$H$62</c:f>
              <c:numCache>
                <c:formatCode>0.0</c:formatCode>
                <c:ptCount val="6"/>
                <c:pt idx="0">
                  <c:v>16.399999999999999</c:v>
                </c:pt>
                <c:pt idx="1">
                  <c:v>14.2</c:v>
                </c:pt>
                <c:pt idx="2">
                  <c:v>7.1</c:v>
                </c:pt>
                <c:pt idx="3">
                  <c:v>16.8</c:v>
                </c:pt>
                <c:pt idx="4">
                  <c:v>14.2</c:v>
                </c:pt>
                <c:pt idx="5">
                  <c:v>44.6</c:v>
                </c:pt>
              </c:numCache>
            </c:numRef>
          </c:val>
        </c:ser>
        <c:ser>
          <c:idx val="4"/>
          <c:order val="4"/>
          <c:tx>
            <c:strRef>
              <c:f>P.25!$B$63</c:f>
              <c:strCache>
                <c:ptCount val="1"/>
                <c:pt idx="0">
                  <c:v>Isole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P.25!$C$58:$H$58</c:f>
              <c:strCache>
                <c:ptCount val="6"/>
                <c:pt idx="0">
                  <c:v>Musei, mostre</c:v>
                </c:pt>
                <c:pt idx="1">
                  <c:v>Siti archeologici, monumenti</c:v>
                </c:pt>
                <c:pt idx="2">
                  <c:v>Concerti di musica classica</c:v>
                </c:pt>
                <c:pt idx="3">
                  <c:v>Altri concerti</c:v>
                </c:pt>
                <c:pt idx="4">
                  <c:v>Teatro</c:v>
                </c:pt>
                <c:pt idx="5">
                  <c:v>Cinema</c:v>
                </c:pt>
              </c:strCache>
            </c:strRef>
          </c:cat>
          <c:val>
            <c:numRef>
              <c:f>P.25!$C$63:$H$63</c:f>
              <c:numCache>
                <c:formatCode>0.0</c:formatCode>
                <c:ptCount val="6"/>
                <c:pt idx="0">
                  <c:v>19.399999999999999</c:v>
                </c:pt>
                <c:pt idx="1">
                  <c:v>17.899999999999999</c:v>
                </c:pt>
                <c:pt idx="2">
                  <c:v>7.1</c:v>
                </c:pt>
                <c:pt idx="3">
                  <c:v>17</c:v>
                </c:pt>
                <c:pt idx="4">
                  <c:v>14.8</c:v>
                </c:pt>
                <c:pt idx="5">
                  <c:v>45.1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0651288"/>
        <c:axId val="130659864"/>
      </c:barChart>
      <c:catAx>
        <c:axId val="130651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659864"/>
        <c:crosses val="autoZero"/>
        <c:auto val="1"/>
        <c:lblAlgn val="ctr"/>
        <c:lblOffset val="100"/>
        <c:noMultiLvlLbl val="0"/>
      </c:catAx>
      <c:valAx>
        <c:axId val="130659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65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P.27!$B$70</c:f>
              <c:strCache>
                <c:ptCount val="1"/>
                <c:pt idx="0">
                  <c:v>Nord-ovest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(P.27!$C$69:$G$69,P.27!$J$69)</c:f>
              <c:strCache>
                <c:ptCount val="6"/>
                <c:pt idx="0">
                  <c:v>Musei, mostre</c:v>
                </c:pt>
                <c:pt idx="1">
                  <c:v>Siti archeologici e monumenti</c:v>
                </c:pt>
                <c:pt idx="2">
                  <c:v>Concerti di musica classica</c:v>
                </c:pt>
                <c:pt idx="3">
                  <c:v>Teatro</c:v>
                </c:pt>
                <c:pt idx="4">
                  <c:v>Cinema</c:v>
                </c:pt>
                <c:pt idx="5">
                  <c:v>Libri </c:v>
                </c:pt>
              </c:strCache>
            </c:strRef>
          </c:cat>
          <c:val>
            <c:numRef>
              <c:f>(P.27!$C$70:$G$70,P.27!$J$70)</c:f>
              <c:numCache>
                <c:formatCode>0.0</c:formatCode>
                <c:ptCount val="6"/>
                <c:pt idx="0">
                  <c:v>63.7</c:v>
                </c:pt>
                <c:pt idx="1">
                  <c:v>73.2</c:v>
                </c:pt>
                <c:pt idx="2">
                  <c:v>87.4</c:v>
                </c:pt>
                <c:pt idx="3">
                  <c:v>77</c:v>
                </c:pt>
                <c:pt idx="4">
                  <c:v>49.2</c:v>
                </c:pt>
                <c:pt idx="5">
                  <c:v>49.8</c:v>
                </c:pt>
              </c:numCache>
            </c:numRef>
          </c:val>
        </c:ser>
        <c:ser>
          <c:idx val="1"/>
          <c:order val="1"/>
          <c:tx>
            <c:strRef>
              <c:f>P.27!$B$71</c:f>
              <c:strCache>
                <c:ptCount val="1"/>
                <c:pt idx="0">
                  <c:v>Nord-est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(P.27!$C$69:$G$69,P.27!$J$69)</c:f>
              <c:strCache>
                <c:ptCount val="6"/>
                <c:pt idx="0">
                  <c:v>Musei, mostre</c:v>
                </c:pt>
                <c:pt idx="1">
                  <c:v>Siti archeologici e monumenti</c:v>
                </c:pt>
                <c:pt idx="2">
                  <c:v>Concerti di musica classica</c:v>
                </c:pt>
                <c:pt idx="3">
                  <c:v>Teatro</c:v>
                </c:pt>
                <c:pt idx="4">
                  <c:v>Cinema</c:v>
                </c:pt>
                <c:pt idx="5">
                  <c:v>Libri </c:v>
                </c:pt>
              </c:strCache>
            </c:strRef>
          </c:cat>
          <c:val>
            <c:numRef>
              <c:f>(P.27!$C$71:$G$71,P.27!$J$71)</c:f>
              <c:numCache>
                <c:formatCode>0.0</c:formatCode>
                <c:ptCount val="6"/>
                <c:pt idx="0">
                  <c:v>64.3</c:v>
                </c:pt>
                <c:pt idx="1">
                  <c:v>72.900000000000006</c:v>
                </c:pt>
                <c:pt idx="2">
                  <c:v>87.4</c:v>
                </c:pt>
                <c:pt idx="3">
                  <c:v>77.8</c:v>
                </c:pt>
                <c:pt idx="4">
                  <c:v>51.5</c:v>
                </c:pt>
                <c:pt idx="5">
                  <c:v>49.4</c:v>
                </c:pt>
              </c:numCache>
            </c:numRef>
          </c:val>
        </c:ser>
        <c:ser>
          <c:idx val="2"/>
          <c:order val="2"/>
          <c:tx>
            <c:strRef>
              <c:f>P.27!$B$72</c:f>
              <c:strCache>
                <c:ptCount val="1"/>
                <c:pt idx="0">
                  <c:v>Centro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(P.27!$C$69:$G$69,P.27!$J$69)</c:f>
              <c:strCache>
                <c:ptCount val="6"/>
                <c:pt idx="0">
                  <c:v>Musei, mostre</c:v>
                </c:pt>
                <c:pt idx="1">
                  <c:v>Siti archeologici e monumenti</c:v>
                </c:pt>
                <c:pt idx="2">
                  <c:v>Concerti di musica classica</c:v>
                </c:pt>
                <c:pt idx="3">
                  <c:v>Teatro</c:v>
                </c:pt>
                <c:pt idx="4">
                  <c:v>Cinema</c:v>
                </c:pt>
                <c:pt idx="5">
                  <c:v>Libri </c:v>
                </c:pt>
              </c:strCache>
            </c:strRef>
          </c:cat>
          <c:val>
            <c:numRef>
              <c:f>(P.27!$C$72:$G$72,P.27!$J$72)</c:f>
              <c:numCache>
                <c:formatCode>0.0</c:formatCode>
                <c:ptCount val="6"/>
                <c:pt idx="0">
                  <c:v>64.900000000000006</c:v>
                </c:pt>
                <c:pt idx="1">
                  <c:v>70.7</c:v>
                </c:pt>
                <c:pt idx="2">
                  <c:v>86.1</c:v>
                </c:pt>
                <c:pt idx="3">
                  <c:v>74.2</c:v>
                </c:pt>
                <c:pt idx="4">
                  <c:v>44.7</c:v>
                </c:pt>
                <c:pt idx="5">
                  <c:v>52.9</c:v>
                </c:pt>
              </c:numCache>
            </c:numRef>
          </c:val>
        </c:ser>
        <c:ser>
          <c:idx val="3"/>
          <c:order val="3"/>
          <c:tx>
            <c:strRef>
              <c:f>P.27!$B$73</c:f>
              <c:strCache>
                <c:ptCount val="1"/>
                <c:pt idx="0">
                  <c:v>Sud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(P.27!$C$69:$G$69,P.27!$J$69)</c:f>
              <c:strCache>
                <c:ptCount val="6"/>
                <c:pt idx="0">
                  <c:v>Musei, mostre</c:v>
                </c:pt>
                <c:pt idx="1">
                  <c:v>Siti archeologici e monumenti</c:v>
                </c:pt>
                <c:pt idx="2">
                  <c:v>Concerti di musica classica</c:v>
                </c:pt>
                <c:pt idx="3">
                  <c:v>Teatro</c:v>
                </c:pt>
                <c:pt idx="4">
                  <c:v>Cinema</c:v>
                </c:pt>
                <c:pt idx="5">
                  <c:v>Libri </c:v>
                </c:pt>
              </c:strCache>
            </c:strRef>
          </c:cat>
          <c:val>
            <c:numRef>
              <c:f>(P.27!$C$73:$G$73,P.27!$J$73)</c:f>
              <c:numCache>
                <c:formatCode>0.0</c:formatCode>
                <c:ptCount val="6"/>
                <c:pt idx="0">
                  <c:v>81</c:v>
                </c:pt>
                <c:pt idx="1">
                  <c:v>83.4</c:v>
                </c:pt>
                <c:pt idx="2">
                  <c:v>90.5</c:v>
                </c:pt>
                <c:pt idx="3">
                  <c:v>83.5</c:v>
                </c:pt>
                <c:pt idx="4">
                  <c:v>53.2</c:v>
                </c:pt>
                <c:pt idx="5">
                  <c:v>68.2</c:v>
                </c:pt>
              </c:numCache>
            </c:numRef>
          </c:val>
        </c:ser>
        <c:ser>
          <c:idx val="4"/>
          <c:order val="4"/>
          <c:tx>
            <c:strRef>
              <c:f>P.27!$B$74</c:f>
              <c:strCache>
                <c:ptCount val="1"/>
                <c:pt idx="0">
                  <c:v>Isole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(P.27!$C$69:$G$69,P.27!$J$69)</c:f>
              <c:strCache>
                <c:ptCount val="6"/>
                <c:pt idx="0">
                  <c:v>Musei, mostre</c:v>
                </c:pt>
                <c:pt idx="1">
                  <c:v>Siti archeologici e monumenti</c:v>
                </c:pt>
                <c:pt idx="2">
                  <c:v>Concerti di musica classica</c:v>
                </c:pt>
                <c:pt idx="3">
                  <c:v>Teatro</c:v>
                </c:pt>
                <c:pt idx="4">
                  <c:v>Cinema</c:v>
                </c:pt>
                <c:pt idx="5">
                  <c:v>Libri </c:v>
                </c:pt>
              </c:strCache>
            </c:strRef>
          </c:cat>
          <c:val>
            <c:numRef>
              <c:f>(P.27!$C$74:$G$74,P.27!$J$74)</c:f>
              <c:numCache>
                <c:formatCode>0.0</c:formatCode>
                <c:ptCount val="6"/>
                <c:pt idx="0">
                  <c:v>78</c:v>
                </c:pt>
                <c:pt idx="1">
                  <c:v>79.7</c:v>
                </c:pt>
                <c:pt idx="2">
                  <c:v>90.4</c:v>
                </c:pt>
                <c:pt idx="3">
                  <c:v>82.6</c:v>
                </c:pt>
                <c:pt idx="4">
                  <c:v>52.6</c:v>
                </c:pt>
                <c:pt idx="5">
                  <c:v>66.8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723672"/>
        <c:axId val="130724064"/>
      </c:barChart>
      <c:catAx>
        <c:axId val="130723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24064"/>
        <c:crosses val="autoZero"/>
        <c:auto val="1"/>
        <c:lblAlgn val="ctr"/>
        <c:lblOffset val="100"/>
        <c:noMultiLvlLbl val="0"/>
      </c:catAx>
      <c:valAx>
        <c:axId val="130724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23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50"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08700603746655E-2"/>
          <c:y val="2.6846589507092376E-2"/>
          <c:w val="0.89652994276315812"/>
          <c:h val="0.87922254308798953"/>
        </c:manualLayout>
      </c:layout>
      <c:lineChart>
        <c:grouping val="stacked"/>
        <c:varyColors val="0"/>
        <c:ser>
          <c:idx val="1"/>
          <c:order val="0"/>
          <c:tx>
            <c:strRef>
              <c:f>P.31!$C$53</c:f>
              <c:strCache>
                <c:ptCount val="1"/>
                <c:pt idx="0">
                  <c:v>Visitatori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pPr>
              <a:solidFill>
                <a:schemeClr val="accent5"/>
              </a:solidFill>
              <a:ln w="6350" cap="flat" cmpd="sng" algn="ctr">
                <a:solidFill>
                  <a:schemeClr val="accent5"/>
                </a:solidFill>
                <a:prstDash val="solid"/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4.9251861663599336E-2"/>
                  <c:y val="6.3842408222699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761241603255194E-2"/>
                  <c:y val="6.4980583354624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7405289357451523E-2"/>
                  <c:y val="5.6738074815819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3139215928673702E-2"/>
                  <c:y val="5.5620987372439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98281529543833E-2"/>
                  <c:y val="5.005899128300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7529526006795624E-2"/>
                  <c:y val="5.0631569476467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1802023562181614E-2"/>
                  <c:y val="5.1966120413901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5.6701592441302219E-2"/>
                  <c:y val="-4.69018571091213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8045970666075084E-2"/>
                  <c:y val="4.130735335081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6603367036870562E-2"/>
                  <c:y val="-7.4757397254364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2.6287077895030132E-2"/>
                  <c:y val="-6.5472193272048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P.31!$B$54:$B$72</c:f>
              <c:numCache>
                <c:formatCode>General</c:formatCode>
                <c:ptCount val="19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</c:numCache>
            </c:numRef>
          </c:cat>
          <c:val>
            <c:numRef>
              <c:f>P.31!$D$54:$D$72</c:f>
              <c:numCache>
                <c:formatCode>#,##0</c:formatCode>
                <c:ptCount val="19"/>
                <c:pt idx="0">
                  <c:v>25029.755000000001</c:v>
                </c:pt>
                <c:pt idx="1">
                  <c:v>26062.485000000001</c:v>
                </c:pt>
                <c:pt idx="2">
                  <c:v>27729.368999999999</c:v>
                </c:pt>
                <c:pt idx="3">
                  <c:v>27295.567999999999</c:v>
                </c:pt>
                <c:pt idx="4">
                  <c:v>30175.826000000001</c:v>
                </c:pt>
                <c:pt idx="5">
                  <c:v>29543.02</c:v>
                </c:pt>
                <c:pt idx="6">
                  <c:v>30268.487000000001</c:v>
                </c:pt>
                <c:pt idx="7">
                  <c:v>30451.242999999999</c:v>
                </c:pt>
                <c:pt idx="8">
                  <c:v>32226.639999999999</c:v>
                </c:pt>
                <c:pt idx="9">
                  <c:v>33048.137000000002</c:v>
                </c:pt>
                <c:pt idx="10">
                  <c:v>34574.591</c:v>
                </c:pt>
                <c:pt idx="11">
                  <c:v>34443.097000000002</c:v>
                </c:pt>
                <c:pt idx="12">
                  <c:v>33106.648000000001</c:v>
                </c:pt>
                <c:pt idx="13">
                  <c:v>32380.144</c:v>
                </c:pt>
                <c:pt idx="14">
                  <c:v>37336.961000000003</c:v>
                </c:pt>
                <c:pt idx="15">
                  <c:v>41223.633999999998</c:v>
                </c:pt>
                <c:pt idx="16">
                  <c:v>37198.794999999998</c:v>
                </c:pt>
                <c:pt idx="17">
                  <c:v>38424.587</c:v>
                </c:pt>
                <c:pt idx="18">
                  <c:v>40744.716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24848"/>
        <c:axId val="130725240"/>
      </c:lineChart>
      <c:catAx>
        <c:axId val="13072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25240"/>
        <c:crosses val="autoZero"/>
        <c:auto val="1"/>
        <c:lblAlgn val="ctr"/>
        <c:lblOffset val="100"/>
        <c:noMultiLvlLbl val="0"/>
      </c:catAx>
      <c:valAx>
        <c:axId val="130725240"/>
        <c:scaling>
          <c:orientation val="minMax"/>
          <c:max val="50000"/>
        </c:scaling>
        <c:delete val="0"/>
        <c:axPos val="l"/>
        <c:numFmt formatCode="#,##0" sourceLinked="1"/>
        <c:majorTickMark val="out"/>
        <c:minorTickMark val="none"/>
        <c:tickLblPos val="none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248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800"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379608798900159E-2"/>
          <c:y val="3.1678492659900422E-2"/>
          <c:w val="0.86679302508822864"/>
          <c:h val="0.873163626624187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25400">
              <a:noFill/>
            </a:ln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-5,2%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637524116577165E-17"/>
                  <c:y val="-5.06970849176173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02788339670467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750482331543288E-17"/>
                  <c:y val="-2.02788339670468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9841269841269871E-3"/>
                  <c:y val="-1.01394169835234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1.5209125475285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(P.34!$C$73,P.34!$E$73:$J$73)</c:f>
              <c:strCache>
                <c:ptCount val="7"/>
                <c:pt idx="0">
                  <c:v>Genova</c:v>
                </c:pt>
                <c:pt idx="1">
                  <c:v>Venezia</c:v>
                </c:pt>
                <c:pt idx="2">
                  <c:v>Milano</c:v>
                </c:pt>
                <c:pt idx="3">
                  <c:v>Bologna</c:v>
                </c:pt>
                <c:pt idx="4">
                  <c:v>Firenze</c:v>
                </c:pt>
                <c:pt idx="5">
                  <c:v>Roma</c:v>
                </c:pt>
                <c:pt idx="6">
                  <c:v>Palermo</c:v>
                </c:pt>
              </c:strCache>
            </c:strRef>
          </c:cat>
          <c:val>
            <c:numRef>
              <c:f>(P.34!$C$75,P.34!$E$75:$J$75)</c:f>
              <c:numCache>
                <c:formatCode>0.0%</c:formatCode>
                <c:ptCount val="7"/>
                <c:pt idx="0">
                  <c:v>8.7615681022274433E-2</c:v>
                </c:pt>
                <c:pt idx="1">
                  <c:v>-5.1907198480665911E-2</c:v>
                </c:pt>
                <c:pt idx="2">
                  <c:v>-0.15179322603736858</c:v>
                </c:pt>
                <c:pt idx="3">
                  <c:v>3.3134798633421503E-2</c:v>
                </c:pt>
                <c:pt idx="4">
                  <c:v>0.11452993409007689</c:v>
                </c:pt>
                <c:pt idx="5">
                  <c:v>4.8482039622219315E-2</c:v>
                </c:pt>
                <c:pt idx="6">
                  <c:v>0.12525427176566314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26024"/>
        <c:axId val="130726416"/>
      </c:barChart>
      <c:catAx>
        <c:axId val="130726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1307264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3072641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130726024"/>
        <c:crossesAt val="1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(P.35!$D$56,P.35!$D$60,P.35!$D$64,P.35!$D$68,P.35!$D$72,P.35!$D$76)</c:f>
              <c:strCache>
                <c:ptCount val="6"/>
                <c:pt idx="0">
                  <c:v>Londra</c:v>
                </c:pt>
                <c:pt idx="1">
                  <c:v>Parigi</c:v>
                </c:pt>
                <c:pt idx="2">
                  <c:v>New York</c:v>
                </c:pt>
                <c:pt idx="3">
                  <c:v>Firenze</c:v>
                </c:pt>
                <c:pt idx="4">
                  <c:v>Roma</c:v>
                </c:pt>
                <c:pt idx="5">
                  <c:v>Venezia</c:v>
                </c:pt>
              </c:strCache>
            </c:strRef>
          </c:cat>
          <c:val>
            <c:numRef>
              <c:f>(P.35!$E$56,P.35!$E$60,P.35!$E$64,P.35!$E$68,P.35!$E$72,P.35!$E$76)</c:f>
              <c:numCache>
                <c:formatCode>#,##0</c:formatCode>
                <c:ptCount val="6"/>
                <c:pt idx="0">
                  <c:v>18897364</c:v>
                </c:pt>
                <c:pt idx="1">
                  <c:v>16210000</c:v>
                </c:pt>
                <c:pt idx="2">
                  <c:v>10226998</c:v>
                </c:pt>
                <c:pt idx="3">
                  <c:v>4156576</c:v>
                </c:pt>
                <c:pt idx="4">
                  <c:v>2000930</c:v>
                </c:pt>
                <c:pt idx="5">
                  <c:v>2028681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0727200"/>
        <c:axId val="130885032"/>
      </c:barChart>
      <c:catAx>
        <c:axId val="13072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85032"/>
        <c:crosses val="autoZero"/>
        <c:auto val="1"/>
        <c:lblAlgn val="ctr"/>
        <c:lblOffset val="100"/>
        <c:noMultiLvlLbl val="0"/>
      </c:catAx>
      <c:valAx>
        <c:axId val="13088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2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174581025818093E-2"/>
          <c:y val="3.8939559458324585E-2"/>
          <c:w val="0.78612110247337941"/>
          <c:h val="0.87566205475273551"/>
        </c:manualLayout>
      </c:layout>
      <c:lineChart>
        <c:grouping val="standard"/>
        <c:varyColors val="0"/>
        <c:ser>
          <c:idx val="0"/>
          <c:order val="0"/>
          <c:tx>
            <c:strRef>
              <c:f>P.10!$D$134</c:f>
              <c:strCache>
                <c:ptCount val="1"/>
                <c:pt idx="0">
                  <c:v>Previsionale</c:v>
                </c:pt>
              </c:strCache>
            </c:strRef>
          </c:tx>
          <c:dLbls>
            <c:dLbl>
              <c:idx val="4"/>
              <c:layout>
                <c:manualLayout>
                  <c:x val="-3.6631978309849232E-2"/>
                  <c:y val="3.7110806855301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282507406568575E-2"/>
                  <c:y val="5.413804883359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6583565600007303E-2"/>
                  <c:y val="3.7110806855301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6631978309849232E-2"/>
                  <c:y val="5.0732600437935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98144921312984E-2"/>
                  <c:y val="5.0732600437935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8246197874187257E-2"/>
                  <c:y val="3.7110806855301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3282507406568575E-2"/>
                  <c:y val="7.457073920754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6631978309849232E-2"/>
                  <c:y val="4.392170364661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831881693894998E-2"/>
                  <c:y val="4.3921703646618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6631978309849232E-2"/>
                  <c:y val="5.0732600437935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6680391019691074E-2"/>
                  <c:y val="5.0732600437935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6541437222308154E-2"/>
                  <c:y val="-5.1241671714112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P.10!$B$135:$B$152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P.10!$D$135:$D$152</c:f>
              <c:numCache>
                <c:formatCode>_-* #,##0_-;\-* #,##0_-;_-* "-"??_-;_-@_-</c:formatCode>
                <c:ptCount val="18"/>
                <c:pt idx="0">
                  <c:v>2102.2677619999999</c:v>
                </c:pt>
                <c:pt idx="1">
                  <c:v>2240.9824039999999</c:v>
                </c:pt>
                <c:pt idx="2">
                  <c:v>2114.5311059999999</c:v>
                </c:pt>
                <c:pt idx="3">
                  <c:v>2116.1733009999998</c:v>
                </c:pt>
                <c:pt idx="4">
                  <c:v>2196.7109999999998</c:v>
                </c:pt>
                <c:pt idx="5">
                  <c:v>2200.6255070000002</c:v>
                </c:pt>
                <c:pt idx="6">
                  <c:v>1859.8387520000001</c:v>
                </c:pt>
                <c:pt idx="7">
                  <c:v>1987.0011629999999</c:v>
                </c:pt>
                <c:pt idx="8">
                  <c:v>2037.4460200000001</c:v>
                </c:pt>
                <c:pt idx="9">
                  <c:v>1718.595</c:v>
                </c:pt>
                <c:pt idx="10">
                  <c:v>1710.4078030000001</c:v>
                </c:pt>
                <c:pt idx="11">
                  <c:v>1425.03665</c:v>
                </c:pt>
                <c:pt idx="12">
                  <c:v>1687.429482</c:v>
                </c:pt>
                <c:pt idx="13">
                  <c:v>1546.779172</c:v>
                </c:pt>
                <c:pt idx="14">
                  <c:v>1595.345278</c:v>
                </c:pt>
                <c:pt idx="15">
                  <c:v>1563.1287219999999</c:v>
                </c:pt>
                <c:pt idx="16">
                  <c:v>1672.1291450000001</c:v>
                </c:pt>
                <c:pt idx="17">
                  <c:v>1610.197535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P.10!$F$134</c:f>
              <c:strCache>
                <c:ptCount val="1"/>
                <c:pt idx="0">
                  <c:v>Consuntivo</c:v>
                </c:pt>
              </c:strCache>
            </c:strRef>
          </c:tx>
          <c:dLbls>
            <c:dLbl>
              <c:idx val="14"/>
              <c:layout>
                <c:manualLayout>
                  <c:x val="-4.0874719091486114E-2"/>
                  <c:y val="-6.7625150095104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n.d.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en-US"/>
                      <a:t>n.d.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6684580329358305E-2"/>
                  <c:y val="-4.80254030361583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n.d.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P.10!$B$135:$B$152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P.10!$F$135:$F$152</c:f>
              <c:numCache>
                <c:formatCode>_-* #,##0_-;\-* #,##0_-;_-* "-"??_-;_-@_-</c:formatCode>
                <c:ptCount val="18"/>
                <c:pt idx="0">
                  <c:v>2398.719341</c:v>
                </c:pt>
                <c:pt idx="1">
                  <c:v>2707.7837420000001</c:v>
                </c:pt>
                <c:pt idx="2">
                  <c:v>2478.989157</c:v>
                </c:pt>
                <c:pt idx="3">
                  <c:v>2583.5279099999998</c:v>
                </c:pt>
                <c:pt idx="4">
                  <c:v>2405.206549</c:v>
                </c:pt>
                <c:pt idx="5">
                  <c:v>2408.2911490000001</c:v>
                </c:pt>
                <c:pt idx="6">
                  <c:v>2226.883335</c:v>
                </c:pt>
                <c:pt idx="7">
                  <c:v>2230.2757969999998</c:v>
                </c:pt>
                <c:pt idx="8">
                  <c:v>2116.3286079999998</c:v>
                </c:pt>
                <c:pt idx="9">
                  <c:v>1937.3092280000001</c:v>
                </c:pt>
                <c:pt idx="10">
                  <c:v>1795.5424559999999</c:v>
                </c:pt>
                <c:pt idx="11">
                  <c:v>1807.8882659999999</c:v>
                </c:pt>
                <c:pt idx="12">
                  <c:v>1808.327129</c:v>
                </c:pt>
                <c:pt idx="13" formatCode="#,##0">
                  <c:v>1692</c:v>
                </c:pt>
                <c:pt idx="14">
                  <c:v>1630.1580409999999</c:v>
                </c:pt>
                <c:pt idx="15" formatCode="#,##0">
                  <c:v>0</c:v>
                </c:pt>
                <c:pt idx="16" formatCode="#,##0">
                  <c:v>0</c:v>
                </c:pt>
                <c:pt idx="17" formatCode="#,##0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885816"/>
        <c:axId val="130886208"/>
        <c:extLst/>
      </c:lineChart>
      <c:catAx>
        <c:axId val="130885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886208"/>
        <c:crosses val="autoZero"/>
        <c:auto val="1"/>
        <c:lblAlgn val="ctr"/>
        <c:lblOffset val="100"/>
        <c:noMultiLvlLbl val="0"/>
      </c:catAx>
      <c:valAx>
        <c:axId val="130886208"/>
        <c:scaling>
          <c:orientation val="minMax"/>
        </c:scaling>
        <c:delete val="0"/>
        <c:axPos val="l"/>
        <c:numFmt formatCode="_-* #,##0_-;\-* #,##0_-;_-* &quot;-&quot;??_-;_-@_-" sourceLinked="1"/>
        <c:majorTickMark val="out"/>
        <c:minorTickMark val="none"/>
        <c:tickLblPos val="nextTo"/>
        <c:crossAx val="130885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18002161494516"/>
          <c:y val="0.58984432613939441"/>
          <c:w val="0.1894067898375448"/>
          <c:h val="0.20525274421668951"/>
        </c:manualLayout>
      </c:layout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it-IT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80301488961118E-2"/>
          <c:y val="4.5604029320852349E-2"/>
          <c:w val="0.88322869343216293"/>
          <c:h val="0.90230829441972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39966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P.12!$B$64:$B$73</c:f>
              <c:strCache>
                <c:ptCount val="10"/>
                <c:pt idx="0">
                  <c:v>2005/2004</c:v>
                </c:pt>
                <c:pt idx="1">
                  <c:v>2006/2005</c:v>
                </c:pt>
                <c:pt idx="2">
                  <c:v>2007/2006</c:v>
                </c:pt>
                <c:pt idx="3">
                  <c:v>2008/2007</c:v>
                </c:pt>
                <c:pt idx="4">
                  <c:v>2009/2008</c:v>
                </c:pt>
                <c:pt idx="5">
                  <c:v>2010/2009</c:v>
                </c:pt>
                <c:pt idx="6">
                  <c:v>2011/2010</c:v>
                </c:pt>
                <c:pt idx="7">
                  <c:v>2012/2011</c:v>
                </c:pt>
                <c:pt idx="8">
                  <c:v>2013/2012</c:v>
                </c:pt>
                <c:pt idx="9">
                  <c:v>2014/2013</c:v>
                </c:pt>
              </c:strCache>
            </c:strRef>
          </c:cat>
          <c:val>
            <c:numRef>
              <c:f>P.12!$C$64:$C$73</c:f>
              <c:numCache>
                <c:formatCode>0.0%</c:formatCode>
                <c:ptCount val="10"/>
                <c:pt idx="0">
                  <c:v>0.14375502582673758</c:v>
                </c:pt>
                <c:pt idx="1">
                  <c:v>0</c:v>
                </c:pt>
                <c:pt idx="2">
                  <c:v>-0.31185185137590421</c:v>
                </c:pt>
                <c:pt idx="3">
                  <c:v>-0.15845267518712497</c:v>
                </c:pt>
                <c:pt idx="4">
                  <c:v>-0.11833932055788296</c:v>
                </c:pt>
                <c:pt idx="5">
                  <c:v>-0.22637246798148949</c:v>
                </c:pt>
                <c:pt idx="6">
                  <c:v>-0.21523032049774612</c:v>
                </c:pt>
                <c:pt idx="7">
                  <c:v>1.5047504434582628E-2</c:v>
                </c:pt>
                <c:pt idx="8">
                  <c:v>-0.39393667930597609</c:v>
                </c:pt>
                <c:pt idx="9">
                  <c:v>-0.23183343214068733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886992"/>
        <c:axId val="130887384"/>
      </c:barChart>
      <c:catAx>
        <c:axId val="13088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887384"/>
        <c:crosses val="autoZero"/>
        <c:auto val="1"/>
        <c:lblAlgn val="ctr"/>
        <c:lblOffset val="100"/>
        <c:noMultiLvlLbl val="0"/>
      </c:catAx>
      <c:valAx>
        <c:axId val="13088738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886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it-IT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A131-D8C2-4313-A1B1-247EF91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13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Camaleonte</dc:creator>
  <cp:keywords/>
  <dc:description/>
  <cp:lastModifiedBy>Flavia Camaleonte</cp:lastModifiedBy>
  <cp:revision>10</cp:revision>
  <cp:lastPrinted>2015-07-02T11:00:00Z</cp:lastPrinted>
  <dcterms:created xsi:type="dcterms:W3CDTF">2014-06-24T09:22:00Z</dcterms:created>
  <dcterms:modified xsi:type="dcterms:W3CDTF">2015-07-06T10:46:00Z</dcterms:modified>
</cp:coreProperties>
</file>