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417" w:rsidRDefault="00361417" w:rsidP="00361417">
      <w:pPr>
        <w:jc w:val="center"/>
        <w:rPr>
          <w:b/>
          <w:sz w:val="32"/>
          <w:szCs w:val="32"/>
        </w:rPr>
      </w:pPr>
      <w:bookmarkStart w:id="0" w:name="_GoBack"/>
      <w:bookmarkEnd w:id="0"/>
      <w:r>
        <w:rPr>
          <w:noProof/>
          <w:lang w:eastAsia="it-IT"/>
        </w:rPr>
        <w:drawing>
          <wp:inline distT="0" distB="0" distL="0" distR="0">
            <wp:extent cx="943887" cy="771525"/>
            <wp:effectExtent l="0" t="0" r="8890" b="0"/>
            <wp:docPr id="2" name="Immagine 2" descr="F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5771" cy="773065"/>
                    </a:xfrm>
                    <a:prstGeom prst="rect">
                      <a:avLst/>
                    </a:prstGeom>
                    <a:noFill/>
                    <a:ln>
                      <a:noFill/>
                    </a:ln>
                  </pic:spPr>
                </pic:pic>
              </a:graphicData>
            </a:graphic>
          </wp:inline>
        </w:drawing>
      </w:r>
    </w:p>
    <w:p w:rsidR="00361417" w:rsidRDefault="00361417" w:rsidP="00361417">
      <w:pPr>
        <w:jc w:val="center"/>
        <w:rPr>
          <w:b/>
          <w:sz w:val="32"/>
          <w:szCs w:val="32"/>
        </w:rPr>
      </w:pPr>
    </w:p>
    <w:p w:rsidR="00361417" w:rsidRPr="00361417" w:rsidRDefault="00361417" w:rsidP="00361417">
      <w:pPr>
        <w:spacing w:after="0" w:line="240" w:lineRule="auto"/>
        <w:jc w:val="center"/>
        <w:rPr>
          <w:rFonts w:cs="TheMix-Black"/>
          <w:b/>
          <w:sz w:val="28"/>
          <w:szCs w:val="40"/>
        </w:rPr>
      </w:pPr>
      <w:r w:rsidRPr="00361417">
        <w:rPr>
          <w:rFonts w:cs="TheMix-Black"/>
          <w:b/>
          <w:sz w:val="28"/>
          <w:szCs w:val="40"/>
        </w:rPr>
        <w:t xml:space="preserve">CULTURA </w:t>
      </w:r>
      <w:r w:rsidRPr="00361417">
        <w:rPr>
          <w:rFonts w:cs="TheMix-Light"/>
          <w:b/>
          <w:sz w:val="28"/>
          <w:szCs w:val="40"/>
        </w:rPr>
        <w:t>L’ALTERNATIVA ALLA CRISI PER UNA NUOVA IDEA DI PROGRESSO</w:t>
      </w:r>
    </w:p>
    <w:p w:rsidR="00361417" w:rsidRPr="00361417" w:rsidRDefault="00361417" w:rsidP="00361417">
      <w:pPr>
        <w:spacing w:after="0" w:line="240" w:lineRule="auto"/>
        <w:jc w:val="center"/>
        <w:rPr>
          <w:sz w:val="24"/>
          <w:szCs w:val="28"/>
        </w:rPr>
      </w:pPr>
      <w:r w:rsidRPr="00361417">
        <w:rPr>
          <w:rFonts w:cs="TheMix-LightCaps"/>
          <w:sz w:val="24"/>
          <w:szCs w:val="28"/>
        </w:rPr>
        <w:t>10° RAPPORTO ANNUALE FEDERCULTURE 2014</w:t>
      </w:r>
    </w:p>
    <w:p w:rsidR="00361417" w:rsidRDefault="00361417" w:rsidP="00361417">
      <w:pPr>
        <w:spacing w:after="0"/>
        <w:rPr>
          <w:b/>
          <w:sz w:val="32"/>
          <w:szCs w:val="32"/>
        </w:rPr>
      </w:pPr>
    </w:p>
    <w:p w:rsidR="00361417" w:rsidRPr="00361417" w:rsidRDefault="00361417" w:rsidP="00361417">
      <w:pPr>
        <w:spacing w:after="0"/>
        <w:ind w:left="360"/>
        <w:jc w:val="center"/>
        <w:rPr>
          <w:b/>
          <w:sz w:val="32"/>
          <w:szCs w:val="32"/>
        </w:rPr>
      </w:pPr>
      <w:r w:rsidRPr="00361417">
        <w:rPr>
          <w:b/>
          <w:sz w:val="32"/>
          <w:szCs w:val="32"/>
        </w:rPr>
        <w:t>-</w:t>
      </w:r>
      <w:r>
        <w:rPr>
          <w:b/>
          <w:sz w:val="32"/>
          <w:szCs w:val="32"/>
        </w:rPr>
        <w:t xml:space="preserve"> </w:t>
      </w:r>
      <w:r w:rsidRPr="00361417">
        <w:rPr>
          <w:b/>
          <w:sz w:val="32"/>
          <w:szCs w:val="32"/>
        </w:rPr>
        <w:t>Sintesi dei dati principali -</w:t>
      </w:r>
    </w:p>
    <w:p w:rsidR="00361417" w:rsidRDefault="00361417" w:rsidP="00361417">
      <w:pPr>
        <w:spacing w:after="0"/>
        <w:rPr>
          <w:b/>
          <w:sz w:val="32"/>
          <w:szCs w:val="32"/>
        </w:rPr>
      </w:pPr>
    </w:p>
    <w:p w:rsidR="00455266" w:rsidRPr="00361417" w:rsidRDefault="00455266" w:rsidP="00361417">
      <w:pPr>
        <w:pStyle w:val="Paragrafoelenco"/>
        <w:numPr>
          <w:ilvl w:val="0"/>
          <w:numId w:val="7"/>
        </w:numPr>
        <w:rPr>
          <w:b/>
          <w:sz w:val="28"/>
          <w:szCs w:val="32"/>
        </w:rPr>
      </w:pPr>
      <w:r w:rsidRPr="00361417">
        <w:rPr>
          <w:b/>
          <w:sz w:val="28"/>
          <w:szCs w:val="32"/>
        </w:rPr>
        <w:t>Il finanziamento pubblico</w:t>
      </w:r>
      <w:r w:rsidR="00944F4A">
        <w:rPr>
          <w:b/>
          <w:sz w:val="28"/>
          <w:szCs w:val="32"/>
        </w:rPr>
        <w:t xml:space="preserve"> alla cultura</w:t>
      </w:r>
    </w:p>
    <w:p w:rsidR="00370358" w:rsidRDefault="00335B81" w:rsidP="00370358">
      <w:pPr>
        <w:spacing w:after="0" w:line="276" w:lineRule="auto"/>
        <w:jc w:val="both"/>
      </w:pPr>
      <w:r>
        <w:t xml:space="preserve">L’Italia è </w:t>
      </w:r>
      <w:r w:rsidRPr="00335B81">
        <w:t>un Paese ad altissima concentrazione di beni culturali, storia</w:t>
      </w:r>
      <w:r w:rsidR="00771E75">
        <w:t xml:space="preserve"> e</w:t>
      </w:r>
      <w:r w:rsidRPr="00335B81">
        <w:t xml:space="preserve"> arte come dimostra</w:t>
      </w:r>
      <w:r w:rsidR="00944F4A">
        <w:t>, tra le altre cose,</w:t>
      </w:r>
      <w:r w:rsidRPr="00335B81">
        <w:t xml:space="preserve"> il fatto </w:t>
      </w:r>
      <w:r w:rsidR="00944F4A">
        <w:t>che possiede</w:t>
      </w:r>
      <w:r w:rsidRPr="00335B81">
        <w:t xml:space="preserve"> il più alto numero di beni iscritti nella Lista del Patrimonio Unesco, </w:t>
      </w:r>
      <w:r w:rsidR="006C0509">
        <w:t>50</w:t>
      </w:r>
      <w:r w:rsidRPr="00335B81">
        <w:t xml:space="preserve"> siti pari al 5% del totale mondiale. Non c’è comune che non abbia un teatro, un museo o una biblioteca. </w:t>
      </w:r>
    </w:p>
    <w:p w:rsidR="00370358" w:rsidRDefault="00370358" w:rsidP="00331C30">
      <w:pPr>
        <w:spacing w:after="0" w:line="276" w:lineRule="auto"/>
        <w:jc w:val="both"/>
      </w:pPr>
      <w:r>
        <w:t xml:space="preserve">Nonostante ciò, </w:t>
      </w:r>
      <w:r w:rsidR="00331C30">
        <w:t xml:space="preserve">si registra da molti anni una </w:t>
      </w:r>
      <w:r w:rsidR="00331C30" w:rsidRPr="00370358">
        <w:t>costante riduzione dell’impegno pubblico nella cultura</w:t>
      </w:r>
      <w:r w:rsidR="00304097">
        <w:t>.</w:t>
      </w:r>
    </w:p>
    <w:p w:rsidR="0074642C" w:rsidRDefault="0074642C" w:rsidP="007276B1">
      <w:pPr>
        <w:spacing w:before="120" w:after="0" w:line="276" w:lineRule="auto"/>
        <w:jc w:val="both"/>
      </w:pPr>
      <w:r>
        <w:t xml:space="preserve">Lo stanziamento del </w:t>
      </w:r>
      <w:r w:rsidRPr="007276B1">
        <w:rPr>
          <w:b/>
        </w:rPr>
        <w:t>Mi</w:t>
      </w:r>
      <w:r w:rsidR="00CA511F">
        <w:rPr>
          <w:b/>
        </w:rPr>
        <w:t>BACT</w:t>
      </w:r>
      <w:r>
        <w:t xml:space="preserve"> per il </w:t>
      </w:r>
      <w:r w:rsidRPr="007276B1">
        <w:rPr>
          <w:b/>
        </w:rPr>
        <w:t>2014</w:t>
      </w:r>
      <w:r>
        <w:t xml:space="preserve"> è pari a </w:t>
      </w:r>
      <w:r w:rsidRPr="007276B1">
        <w:rPr>
          <w:b/>
        </w:rPr>
        <w:t>1.595 milioni di euro</w:t>
      </w:r>
      <w:r>
        <w:t>. D</w:t>
      </w:r>
      <w:r w:rsidR="00455266">
        <w:t>al 2004</w:t>
      </w:r>
      <w:r w:rsidR="00331C30">
        <w:t xml:space="preserve">, quando </w:t>
      </w:r>
      <w:r w:rsidR="00432EB0">
        <w:t>superavano i 2 miliardi di euro</w:t>
      </w:r>
      <w:r w:rsidR="00331C30">
        <w:t>,</w:t>
      </w:r>
      <w:r w:rsidR="00455266">
        <w:t xml:space="preserve"> ad oggi le risorse </w:t>
      </w:r>
      <w:r w:rsidR="00331C30">
        <w:t>destinate al M</w:t>
      </w:r>
      <w:r>
        <w:t>inistero</w:t>
      </w:r>
      <w:r w:rsidR="00455266">
        <w:t xml:space="preserve"> sono </w:t>
      </w:r>
      <w:r w:rsidR="00432EB0">
        <w:t xml:space="preserve">state </w:t>
      </w:r>
      <w:r w:rsidR="00455266">
        <w:t>ridotte del 27,4%</w:t>
      </w:r>
      <w:r>
        <w:t>.</w:t>
      </w:r>
    </w:p>
    <w:p w:rsidR="00331C30" w:rsidRPr="00331C30" w:rsidRDefault="00331C30" w:rsidP="00331C30">
      <w:pPr>
        <w:spacing w:before="120" w:after="0" w:line="276" w:lineRule="auto"/>
        <w:jc w:val="center"/>
        <w:rPr>
          <w:sz w:val="20"/>
        </w:rPr>
      </w:pPr>
      <w:r w:rsidRPr="00331C30">
        <w:rPr>
          <w:b/>
          <w:sz w:val="20"/>
        </w:rPr>
        <w:t>Il bilancio del MiBACT</w:t>
      </w:r>
      <w:r w:rsidRPr="00331C30">
        <w:rPr>
          <w:sz w:val="20"/>
        </w:rPr>
        <w:t xml:space="preserve"> (milioni di euro)</w:t>
      </w:r>
    </w:p>
    <w:p w:rsidR="00331C30" w:rsidRDefault="00E708E2" w:rsidP="007276B1">
      <w:pPr>
        <w:spacing w:after="0" w:line="276" w:lineRule="auto"/>
        <w:jc w:val="center"/>
      </w:pPr>
      <w:r>
        <w:rPr>
          <w:noProof/>
          <w:lang w:eastAsia="it-IT"/>
        </w:rPr>
        <w:drawing>
          <wp:inline distT="0" distB="0" distL="0" distR="0" wp14:anchorId="7DAC0A4B" wp14:editId="589D8337">
            <wp:extent cx="5586730" cy="2800350"/>
            <wp:effectExtent l="0" t="0" r="13970" b="0"/>
            <wp:docPr id="13" name="Gra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87EDC" w:rsidRPr="00331C30" w:rsidRDefault="00331C30" w:rsidP="00331C30">
      <w:pPr>
        <w:spacing w:after="0" w:line="276" w:lineRule="auto"/>
        <w:ind w:firstLine="284"/>
        <w:rPr>
          <w:sz w:val="18"/>
        </w:rPr>
      </w:pPr>
      <w:r w:rsidRPr="00331C30">
        <w:rPr>
          <w:sz w:val="18"/>
        </w:rPr>
        <w:t>Fonte: elaborazioni Federculture su dati MiBACT, Ragioneria Generale dello Stato</w:t>
      </w:r>
    </w:p>
    <w:p w:rsidR="004121A3" w:rsidRDefault="004121A3" w:rsidP="007276B1">
      <w:pPr>
        <w:spacing w:before="120" w:after="0" w:line="276" w:lineRule="auto"/>
        <w:jc w:val="both"/>
      </w:pPr>
    </w:p>
    <w:p w:rsidR="0074642C" w:rsidRDefault="00455266" w:rsidP="007276B1">
      <w:pPr>
        <w:spacing w:before="120" w:after="0" w:line="276" w:lineRule="auto"/>
        <w:jc w:val="both"/>
      </w:pPr>
      <w:r>
        <w:t xml:space="preserve">Nella legge di stabilità per il triennio 2014-2016 si prevede uno stanziamento medio pari a 1.527 milioni di euro, con un calo ulteriore del 3,14%. Dato che appare ancora più grave se si considera che dal 2013 al Ministero sono state affidate anche le competenze in tema di turismo, finanziate però con poche decine di milioni di euro. </w:t>
      </w:r>
    </w:p>
    <w:p w:rsidR="007276B1" w:rsidRDefault="007276B1" w:rsidP="007276B1">
      <w:pPr>
        <w:spacing w:before="120" w:after="0" w:line="276" w:lineRule="auto"/>
        <w:jc w:val="both"/>
      </w:pPr>
      <w:r>
        <w:t xml:space="preserve">In controtendenza il </w:t>
      </w:r>
      <w:r w:rsidRPr="007276B1">
        <w:rPr>
          <w:b/>
        </w:rPr>
        <w:t>F</w:t>
      </w:r>
      <w:r>
        <w:rPr>
          <w:b/>
        </w:rPr>
        <w:t>ondo Unico per lo Spettacolo</w:t>
      </w:r>
      <w:r>
        <w:t xml:space="preserve"> rispetto al quale </w:t>
      </w:r>
      <w:r w:rsidRPr="007276B1">
        <w:rPr>
          <w:b/>
        </w:rPr>
        <w:t>per il 2014 si prevede un incremento del 4,1%</w:t>
      </w:r>
      <w:r>
        <w:t xml:space="preserve">, da 389 a 405 milioni di euro. Guardando al trend di lungo periodo, del resto, si registra una </w:t>
      </w:r>
      <w:r w:rsidRPr="007276B1">
        <w:rPr>
          <w:b/>
        </w:rPr>
        <w:t>variazione negativa del 19% rispetto al 2004</w:t>
      </w:r>
      <w:r>
        <w:t>.</w:t>
      </w:r>
    </w:p>
    <w:p w:rsidR="0074642C" w:rsidRDefault="00A648AA" w:rsidP="00A648AA">
      <w:pPr>
        <w:spacing w:before="120" w:after="0" w:line="276" w:lineRule="auto"/>
      </w:pPr>
      <w:r>
        <w:t>La stessa dinamica si rileva per i</w:t>
      </w:r>
      <w:r w:rsidR="0074642C">
        <w:t xml:space="preserve"> fondi derivanti dal </w:t>
      </w:r>
      <w:r w:rsidR="0074642C" w:rsidRPr="00A648AA">
        <w:rPr>
          <w:b/>
        </w:rPr>
        <w:t>Gioco del Lotto</w:t>
      </w:r>
      <w:r w:rsidR="00D87EDC">
        <w:t xml:space="preserve"> che nel </w:t>
      </w:r>
      <w:r w:rsidR="00D87EDC" w:rsidRPr="00A648AA">
        <w:rPr>
          <w:b/>
        </w:rPr>
        <w:t>2004</w:t>
      </w:r>
      <w:r w:rsidR="00D87EDC">
        <w:t xml:space="preserve"> erano pari </w:t>
      </w:r>
      <w:r w:rsidR="00D87EDC" w:rsidRPr="00A648AA">
        <w:rPr>
          <w:b/>
        </w:rPr>
        <w:t>134,7 milioni di euro</w:t>
      </w:r>
      <w:r w:rsidR="00D87EDC">
        <w:t xml:space="preserve"> e nell’ultima programmazione (</w:t>
      </w:r>
      <w:r w:rsidR="00D87EDC" w:rsidRPr="00A648AA">
        <w:rPr>
          <w:b/>
        </w:rPr>
        <w:t>2013</w:t>
      </w:r>
      <w:r w:rsidR="00D87EDC">
        <w:t xml:space="preserve">) sono </w:t>
      </w:r>
      <w:r w:rsidR="00D87EDC" w:rsidRPr="00A648AA">
        <w:rPr>
          <w:b/>
        </w:rPr>
        <w:t>29 milioni</w:t>
      </w:r>
      <w:r w:rsidR="00D87EDC">
        <w:t xml:space="preserve">, con </w:t>
      </w:r>
      <w:r w:rsidR="00D87EDC" w:rsidRPr="00A648AA">
        <w:rPr>
          <w:b/>
        </w:rPr>
        <w:t>una riduzione del 78%.</w:t>
      </w:r>
    </w:p>
    <w:p w:rsidR="00432EB0" w:rsidRDefault="00432EB0" w:rsidP="00A648AA">
      <w:pPr>
        <w:spacing w:before="120" w:after="0" w:line="276" w:lineRule="auto"/>
        <w:jc w:val="both"/>
      </w:pPr>
      <w:r>
        <w:lastRenderedPageBreak/>
        <w:t>Drammatico anche il crollo delle risorse impegnate nel settore da parte degli Enti locali.</w:t>
      </w:r>
    </w:p>
    <w:p w:rsidR="00343EC8" w:rsidRDefault="00D575E8" w:rsidP="00A648AA">
      <w:pPr>
        <w:spacing w:before="120" w:after="0" w:line="276" w:lineRule="auto"/>
        <w:jc w:val="both"/>
      </w:pPr>
      <w:r>
        <w:t>Gli investimenti dei</w:t>
      </w:r>
      <w:r w:rsidR="00432EB0">
        <w:t xml:space="preserve"> </w:t>
      </w:r>
      <w:r w:rsidR="00432EB0" w:rsidRPr="00D575E8">
        <w:rPr>
          <w:b/>
        </w:rPr>
        <w:t>Comuni</w:t>
      </w:r>
      <w:r w:rsidR="00FF35BB">
        <w:t xml:space="preserve"> </w:t>
      </w:r>
      <w:r w:rsidR="004121A3">
        <w:t>sono scesi, per la prim</w:t>
      </w:r>
      <w:r>
        <w:t xml:space="preserve">a volta dopo quasi dieci anni, sotto i 2 miliardi di euro: </w:t>
      </w:r>
      <w:r w:rsidRPr="00D575E8">
        <w:rPr>
          <w:b/>
        </w:rPr>
        <w:t xml:space="preserve">1.935 </w:t>
      </w:r>
      <w:r>
        <w:rPr>
          <w:b/>
        </w:rPr>
        <w:t xml:space="preserve">milioni di euro </w:t>
      </w:r>
      <w:r w:rsidRPr="00D575E8">
        <w:rPr>
          <w:b/>
        </w:rPr>
        <w:t xml:space="preserve">nel 2012 </w:t>
      </w:r>
      <w:r>
        <w:t xml:space="preserve">(ultimo anno rilevato), il 9,4% in meno sul 2011 e ben </w:t>
      </w:r>
      <w:r w:rsidRPr="00D575E8">
        <w:rPr>
          <w:b/>
        </w:rPr>
        <w:t>il 26% in meno rispetto al 2005</w:t>
      </w:r>
      <w:r>
        <w:t xml:space="preserve"> quando le risorse investite nella cultura dalle amministrazioni comunali erano pari a </w:t>
      </w:r>
      <w:r w:rsidR="00FF35BB" w:rsidRPr="00E53398">
        <w:rPr>
          <w:b/>
        </w:rPr>
        <w:t xml:space="preserve">2,6 miliardi </w:t>
      </w:r>
      <w:r w:rsidR="00FF35BB">
        <w:t>di euro</w:t>
      </w:r>
      <w:r w:rsidR="006C0509">
        <w:t>.</w:t>
      </w:r>
    </w:p>
    <w:p w:rsidR="005F027B" w:rsidRPr="005F027B" w:rsidRDefault="005F027B" w:rsidP="005F027B">
      <w:pPr>
        <w:spacing w:before="120" w:after="0" w:line="276" w:lineRule="auto"/>
        <w:jc w:val="center"/>
        <w:rPr>
          <w:sz w:val="20"/>
        </w:rPr>
      </w:pPr>
      <w:r w:rsidRPr="005F027B">
        <w:rPr>
          <w:b/>
          <w:sz w:val="20"/>
        </w:rPr>
        <w:t>Spesa dei Comuni per la Cultura</w:t>
      </w:r>
      <w:r w:rsidRPr="005F027B">
        <w:rPr>
          <w:sz w:val="20"/>
        </w:rPr>
        <w:t xml:space="preserve"> - serie storica 2005-2012 (milioni di euro)</w:t>
      </w:r>
    </w:p>
    <w:p w:rsidR="007D5F0F" w:rsidRDefault="005F027B" w:rsidP="004E5B6C">
      <w:pPr>
        <w:spacing w:after="0" w:line="276" w:lineRule="auto"/>
        <w:jc w:val="center"/>
      </w:pPr>
      <w:r>
        <w:rPr>
          <w:noProof/>
          <w:lang w:eastAsia="it-IT"/>
        </w:rPr>
        <mc:AlternateContent>
          <mc:Choice Requires="wps">
            <w:drawing>
              <wp:anchor distT="0" distB="0" distL="114300" distR="114300" simplePos="0" relativeHeight="251660288" behindDoc="0" locked="0" layoutInCell="1" allowOverlap="1" wp14:anchorId="031FE0D9" wp14:editId="79018952">
                <wp:simplePos x="0" y="0"/>
                <wp:positionH relativeFrom="column">
                  <wp:posOffset>3556635</wp:posOffset>
                </wp:positionH>
                <wp:positionV relativeFrom="paragraph">
                  <wp:posOffset>1160780</wp:posOffset>
                </wp:positionV>
                <wp:extent cx="1095374" cy="352425"/>
                <wp:effectExtent l="0" t="0" r="10160" b="28575"/>
                <wp:wrapNone/>
                <wp:docPr id="9" name="CasellaDiTesto 1"/>
                <wp:cNvGraphicFramePr/>
                <a:graphic xmlns:a="http://schemas.openxmlformats.org/drawingml/2006/main">
                  <a:graphicData uri="http://schemas.microsoft.com/office/word/2010/wordprocessingShape">
                    <wps:wsp>
                      <wps:cNvSpPr txBox="1"/>
                      <wps:spPr>
                        <a:xfrm>
                          <a:off x="0" y="0"/>
                          <a:ext cx="1095374" cy="352425"/>
                        </a:xfrm>
                        <a:prstGeom prst="rect">
                          <a:avLst/>
                        </a:prstGeom>
                        <a:solidFill>
                          <a:schemeClr val="lt1"/>
                        </a:solidFill>
                        <a:ln w="9525" cmpd="sng">
                          <a:solidFill>
                            <a:srgbClr val="00B0F0"/>
                          </a:solidFill>
                        </a:ln>
                      </wps:spPr>
                      <wps:style>
                        <a:lnRef idx="0">
                          <a:scrgbClr r="0" g="0" b="0"/>
                        </a:lnRef>
                        <a:fillRef idx="0">
                          <a:scrgbClr r="0" g="0" b="0"/>
                        </a:fillRef>
                        <a:effectRef idx="0">
                          <a:scrgbClr r="0" g="0" b="0"/>
                        </a:effectRef>
                        <a:fontRef idx="minor">
                          <a:schemeClr val="dk1"/>
                        </a:fontRef>
                      </wps:style>
                      <wps:txbx>
                        <w:txbxContent>
                          <w:p w:rsidR="006C0509" w:rsidRPr="005F027B" w:rsidRDefault="006C0509" w:rsidP="005F027B">
                            <w:pPr>
                              <w:pStyle w:val="NormaleWeb"/>
                              <w:spacing w:before="0" w:beforeAutospacing="0" w:after="0" w:afterAutospacing="0"/>
                              <w:jc w:val="center"/>
                              <w:rPr>
                                <w:sz w:val="20"/>
                              </w:rPr>
                            </w:pPr>
                            <w:r w:rsidRPr="005F027B">
                              <w:rPr>
                                <w:rFonts w:asciiTheme="minorHAnsi" w:hAnsi="Calibri" w:cstheme="minorBidi"/>
                                <w:b/>
                                <w:bCs/>
                                <w:color w:val="000000" w:themeColor="dark1"/>
                                <w:sz w:val="18"/>
                                <w:szCs w:val="22"/>
                              </w:rPr>
                              <w:t>Var. 2012/2005</w:t>
                            </w:r>
                          </w:p>
                          <w:p w:rsidR="006C0509" w:rsidRPr="005F027B" w:rsidRDefault="006C0509" w:rsidP="005F027B">
                            <w:pPr>
                              <w:pStyle w:val="NormaleWeb"/>
                              <w:spacing w:before="0" w:beforeAutospacing="0" w:after="0" w:afterAutospacing="0"/>
                              <w:jc w:val="center"/>
                              <w:rPr>
                                <w:sz w:val="20"/>
                              </w:rPr>
                            </w:pPr>
                            <w:r w:rsidRPr="005F027B">
                              <w:rPr>
                                <w:rFonts w:asciiTheme="minorHAnsi" w:hAnsi="Calibri" w:cstheme="minorBidi"/>
                                <w:b/>
                                <w:bCs/>
                                <w:color w:val="000000" w:themeColor="dark1"/>
                                <w:sz w:val="18"/>
                                <w:szCs w:val="22"/>
                              </w:rPr>
                              <w:t>-26%</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031FE0D9" id="_x0000_t202" coordsize="21600,21600" o:spt="202" path="m,l,21600r21600,l21600,xe">
                <v:stroke joinstyle="miter"/>
                <v:path gradientshapeok="t" o:connecttype="rect"/>
              </v:shapetype>
              <v:shape id="CasellaDiTesto 1" o:spid="_x0000_s1026" type="#_x0000_t202" style="position:absolute;left:0;text-align:left;margin-left:280.05pt;margin-top:91.4pt;width:86.25pt;height:27.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dIcMQIAANAEAAAOAAAAZHJzL2Uyb0RvYy54bWysVMFy2yAQvXem/8BwryU7cdt4LGcae9xL&#10;p8k06QdgBBZTYClgS+7Xd0GyUqendHpBAnbf7r59y/K2M5ochQ8KbEWnk5ISYTnUyu4r+v1p++4j&#10;JSEyWzMNVlT0JAK9Xb19s2zdQsygAV0LTxDEhkXrKtrE6BZFEXgjDAsTcMLipQRvWMSt3xe1Zy2i&#10;G13MyvJ90YKvnQcuQsDTTX9JVxlfSsHjvZRBRKIrirnFvPq87tJarJZssffMNYoPabB/yMIwZTHo&#10;CLVhkZGDV39BGcU9BJBxwsEUIKXiIteA1UzLF9U8NsyJXAuSE9xIU/h/sPzr8cETVVf0hhLLDLZo&#10;zYLQmm3UkwgRyDRx1LqwQNNHh8axu4MOe30+D3iYSu+kN+mLRRG8R7ZPI8Oii4Qnp/JmfvXhmhKO&#10;d1fz2fVsnmCKZ2/nQ/wswJD0U1GPHczEsuOXEHvTs0kKFkCrequ0zpukGrHWnhwZ9lvHnCOCX1hp&#10;S1osd46hCTcOSw92n2NcmAW/341QZXlXbrNaLtFwpy3mn/jpech/8aRFSkjbb0Iiu5mOPsMBtZcg&#10;zgjSdBZiBkOHZCixpFf6Di7JW2Tlv9J/dMrxwcbR3ygLvmfokuH6x5lh2dufqegJSFzEbtcNAtpB&#10;fUL94GsR73GRGrAPXCtHSQP+18uzFqcSe/PzwLygxEe9hn6ImeVoX9FeGBY+HSJIlcWRIvZhhkxw&#10;bLK8hhFPc/nnPls9P0Sr3wAAAP//AwBQSwMEFAAGAAgAAAAhAOs2jVzhAAAACwEAAA8AAABkcnMv&#10;ZG93bnJldi54bWxMj81OwzAQhO9IvIO1SNyo00SEEOJUFJUeK1GoenWTbX6I11HspqFPz3Iqx9GM&#10;Zr7JFpPpxIiDaywpmM8CEEiFLRuqFHx9vj8kIJzXVOrOEir4QQeL/PYm02lpz/SB49ZXgkvIpVpB&#10;7X2fSumKGo12M9sjsXe0g9Ge5VDJctBnLjedDIMglkY3xAu17vGtxuJ7ezK8ux6Xy+fxuF+37Wq/&#10;uuwuO7Nplbq/m15fQHic/DUMf/iMDjkzHeyJSic6BY9xMOcoG0nIHzjxFIUxiIOCMEoikHkm/3/I&#10;fwEAAP//AwBQSwECLQAUAAYACAAAACEAtoM4kv4AAADhAQAAEwAAAAAAAAAAAAAAAAAAAAAAW0Nv&#10;bnRlbnRfVHlwZXNdLnhtbFBLAQItABQABgAIAAAAIQA4/SH/1gAAAJQBAAALAAAAAAAAAAAAAAAA&#10;AC8BAABfcmVscy8ucmVsc1BLAQItABQABgAIAAAAIQDuadIcMQIAANAEAAAOAAAAAAAAAAAAAAAA&#10;AC4CAABkcnMvZTJvRG9jLnhtbFBLAQItABQABgAIAAAAIQDrNo1c4QAAAAsBAAAPAAAAAAAAAAAA&#10;AAAAAIsEAABkcnMvZG93bnJldi54bWxQSwUGAAAAAAQABADzAAAAmQUAAAAA&#10;" fillcolor="white [3201]" strokecolor="#00b0f0">
                <v:textbox>
                  <w:txbxContent>
                    <w:p w:rsidR="006C0509" w:rsidRPr="005F027B" w:rsidRDefault="006C0509" w:rsidP="005F027B">
                      <w:pPr>
                        <w:pStyle w:val="NormaleWeb"/>
                        <w:spacing w:before="0" w:beforeAutospacing="0" w:after="0" w:afterAutospacing="0"/>
                        <w:jc w:val="center"/>
                        <w:rPr>
                          <w:sz w:val="20"/>
                        </w:rPr>
                      </w:pPr>
                      <w:r w:rsidRPr="005F027B">
                        <w:rPr>
                          <w:rFonts w:asciiTheme="minorHAnsi" w:hAnsi="Calibri" w:cstheme="minorBidi"/>
                          <w:b/>
                          <w:bCs/>
                          <w:color w:val="000000" w:themeColor="dark1"/>
                          <w:sz w:val="18"/>
                          <w:szCs w:val="22"/>
                        </w:rPr>
                        <w:t>Var. 2012/2005</w:t>
                      </w:r>
                    </w:p>
                    <w:p w:rsidR="006C0509" w:rsidRPr="005F027B" w:rsidRDefault="006C0509" w:rsidP="005F027B">
                      <w:pPr>
                        <w:pStyle w:val="NormaleWeb"/>
                        <w:spacing w:before="0" w:beforeAutospacing="0" w:after="0" w:afterAutospacing="0"/>
                        <w:jc w:val="center"/>
                        <w:rPr>
                          <w:sz w:val="20"/>
                        </w:rPr>
                      </w:pPr>
                      <w:r w:rsidRPr="005F027B">
                        <w:rPr>
                          <w:rFonts w:asciiTheme="minorHAnsi" w:hAnsi="Calibri" w:cstheme="minorBidi"/>
                          <w:b/>
                          <w:bCs/>
                          <w:color w:val="000000" w:themeColor="dark1"/>
                          <w:sz w:val="18"/>
                          <w:szCs w:val="22"/>
                        </w:rPr>
                        <w:t>-26%</w:t>
                      </w:r>
                    </w:p>
                  </w:txbxContent>
                </v:textbox>
              </v:shape>
            </w:pict>
          </mc:Fallback>
        </mc:AlternateContent>
      </w:r>
      <w:r>
        <w:rPr>
          <w:noProof/>
          <w:lang w:eastAsia="it-IT"/>
        </w:rPr>
        <w:drawing>
          <wp:inline distT="0" distB="0" distL="0" distR="0" wp14:anchorId="7954F1C9" wp14:editId="4ACCA807">
            <wp:extent cx="3712210" cy="2181225"/>
            <wp:effectExtent l="0" t="0" r="2540" b="9525"/>
            <wp:docPr id="8" name="Gra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027B" w:rsidRPr="00331C30" w:rsidRDefault="005F027B" w:rsidP="00304097">
      <w:pPr>
        <w:spacing w:after="0" w:line="276" w:lineRule="auto"/>
        <w:ind w:left="1843"/>
        <w:rPr>
          <w:sz w:val="18"/>
        </w:rPr>
      </w:pPr>
      <w:r w:rsidRPr="00331C30">
        <w:rPr>
          <w:sz w:val="18"/>
        </w:rPr>
        <w:t xml:space="preserve">Fonte: elaborazioni Federculture su dati </w:t>
      </w:r>
      <w:r w:rsidR="00A5024C">
        <w:rPr>
          <w:sz w:val="18"/>
        </w:rPr>
        <w:t>ISTAT</w:t>
      </w:r>
    </w:p>
    <w:p w:rsidR="00343EC8" w:rsidRDefault="00343EC8" w:rsidP="00343EC8">
      <w:pPr>
        <w:pStyle w:val="Paragrafoelenco"/>
      </w:pPr>
    </w:p>
    <w:p w:rsidR="00E53398" w:rsidRDefault="006D7D4E" w:rsidP="00E53398">
      <w:pPr>
        <w:spacing w:before="120" w:after="0" w:line="276" w:lineRule="auto"/>
        <w:jc w:val="both"/>
      </w:pPr>
      <w:r>
        <w:t>Dati confermati dall’</w:t>
      </w:r>
      <w:r w:rsidR="00E53398">
        <w:t>indagine a campione condotta per il terzo anno consecutivo da Federculture</w:t>
      </w:r>
      <w:r w:rsidR="004121A3">
        <w:t xml:space="preserve"> e contenuta nel Rapporto</w:t>
      </w:r>
      <w:r w:rsidR="00E53398">
        <w:t xml:space="preserve"> (23 grandi e medie città d’arte coinvolte) </w:t>
      </w:r>
      <w:r w:rsidR="00F6555D">
        <w:t>che</w:t>
      </w:r>
      <w:r w:rsidR="00E53398" w:rsidRPr="004D07E5">
        <w:t xml:space="preserve"> rileva una decisa contrazione in termini percentuali sui bilanci comunali di quanto investito per il </w:t>
      </w:r>
      <w:r w:rsidR="00E53398" w:rsidRPr="00455266">
        <w:t xml:space="preserve">finanziamento della cultura: </w:t>
      </w:r>
      <w:r w:rsidR="00E53398" w:rsidRPr="003E2F09">
        <w:rPr>
          <w:b/>
        </w:rPr>
        <w:t>si passa in media dal 3,1% del 2008 al 2,5% dei previsionali 2014</w:t>
      </w:r>
      <w:r w:rsidR="00E53398">
        <w:t>.</w:t>
      </w:r>
    </w:p>
    <w:p w:rsidR="00FF35BB" w:rsidRDefault="004E5B6C" w:rsidP="00DA3B82">
      <w:pPr>
        <w:spacing w:before="120" w:after="0" w:line="276" w:lineRule="auto"/>
        <w:jc w:val="both"/>
      </w:pPr>
      <w:r>
        <w:t>Altrettanto netto è il calo degli investimenti in cultura effettuati negli ultimi anni dal</w:t>
      </w:r>
      <w:r w:rsidR="00370358">
        <w:t xml:space="preserve">le </w:t>
      </w:r>
      <w:r w:rsidR="00370358" w:rsidRPr="005F027B">
        <w:rPr>
          <w:b/>
        </w:rPr>
        <w:t>Province</w:t>
      </w:r>
      <w:r w:rsidR="00DA3B82">
        <w:t xml:space="preserve"> pari </w:t>
      </w:r>
      <w:r w:rsidR="00DA3B82" w:rsidRPr="00DA3B82">
        <w:t xml:space="preserve">nel </w:t>
      </w:r>
      <w:r w:rsidR="00DA3B82">
        <w:rPr>
          <w:b/>
        </w:rPr>
        <w:t>2012</w:t>
      </w:r>
      <w:r w:rsidR="00343EC8" w:rsidRPr="005F027B">
        <w:rPr>
          <w:b/>
        </w:rPr>
        <w:t xml:space="preserve"> </w:t>
      </w:r>
      <w:r w:rsidR="00DA3B82" w:rsidRPr="00702905">
        <w:rPr>
          <w:b/>
        </w:rPr>
        <w:t>160 milioni</w:t>
      </w:r>
      <w:r w:rsidR="00343EC8" w:rsidRPr="00702905">
        <w:rPr>
          <w:b/>
        </w:rPr>
        <w:t xml:space="preserve"> </w:t>
      </w:r>
      <w:r w:rsidR="00702905" w:rsidRPr="00702905">
        <w:rPr>
          <w:b/>
        </w:rPr>
        <w:t xml:space="preserve">di euro, -25% sul 2011 e -42% rispetto al </w:t>
      </w:r>
      <w:r w:rsidR="00343EC8" w:rsidRPr="00702905">
        <w:rPr>
          <w:b/>
        </w:rPr>
        <w:t>2006</w:t>
      </w:r>
      <w:r w:rsidR="00702905">
        <w:t>.</w:t>
      </w:r>
    </w:p>
    <w:p w:rsidR="00C45AE5" w:rsidRPr="00343EC8" w:rsidRDefault="00C45AE5" w:rsidP="00DA3B82">
      <w:pPr>
        <w:spacing w:before="120" w:after="0" w:line="276" w:lineRule="auto"/>
        <w:jc w:val="both"/>
      </w:pPr>
    </w:p>
    <w:p w:rsidR="00FF35BB" w:rsidRDefault="005F2C18" w:rsidP="00EC5021">
      <w:pPr>
        <w:pBdr>
          <w:top w:val="single" w:sz="4" w:space="3" w:color="auto"/>
          <w:left w:val="single" w:sz="4" w:space="4" w:color="auto"/>
          <w:bottom w:val="single" w:sz="4" w:space="3" w:color="auto"/>
          <w:right w:val="single" w:sz="4" w:space="4" w:color="auto"/>
        </w:pBdr>
        <w:shd w:val="clear" w:color="auto" w:fill="FFFFCC"/>
        <w:spacing w:before="120" w:after="0" w:line="276" w:lineRule="auto"/>
        <w:jc w:val="both"/>
      </w:pPr>
      <w:r w:rsidRPr="005F2C18">
        <w:t>Complessivamente</w:t>
      </w:r>
      <w:r>
        <w:rPr>
          <w:b/>
        </w:rPr>
        <w:t xml:space="preserve"> l</w:t>
      </w:r>
      <w:r w:rsidR="00FF35BB" w:rsidRPr="00C45AE5">
        <w:rPr>
          <w:b/>
        </w:rPr>
        <w:t>’intervento pubblico nella cultura</w:t>
      </w:r>
      <w:r w:rsidR="00C45AE5">
        <w:rPr>
          <w:b/>
        </w:rPr>
        <w:t xml:space="preserve">, </w:t>
      </w:r>
      <w:r w:rsidR="00FF35BB" w:rsidRPr="00C45AE5">
        <w:t xml:space="preserve">nei </w:t>
      </w:r>
      <w:r w:rsidR="00C45AE5">
        <w:t xml:space="preserve">diversi livelli analizzati (non è disponibile il dato relativo alle Regioni), </w:t>
      </w:r>
      <w:r w:rsidR="00C45AE5" w:rsidRPr="00C45AE5">
        <w:rPr>
          <w:b/>
        </w:rPr>
        <w:t xml:space="preserve">negli ultimi dieci anni è diminuito di oltre </w:t>
      </w:r>
      <w:r>
        <w:rPr>
          <w:b/>
        </w:rPr>
        <w:t>1,6</w:t>
      </w:r>
      <w:r w:rsidR="00C45AE5" w:rsidRPr="00C45AE5">
        <w:rPr>
          <w:b/>
        </w:rPr>
        <w:t xml:space="preserve"> miliardi</w:t>
      </w:r>
      <w:r w:rsidR="00C45AE5">
        <w:t xml:space="preserve">. </w:t>
      </w:r>
    </w:p>
    <w:p w:rsidR="00FF35BB" w:rsidRDefault="00FF35BB" w:rsidP="00FF35BB">
      <w:pPr>
        <w:spacing w:after="0" w:line="276" w:lineRule="auto"/>
      </w:pPr>
    </w:p>
    <w:p w:rsidR="00432EB0" w:rsidRDefault="00432EB0" w:rsidP="00FF35BB">
      <w:pPr>
        <w:spacing w:after="0" w:line="276" w:lineRule="auto"/>
      </w:pPr>
    </w:p>
    <w:p w:rsidR="00FF35BB" w:rsidRPr="00432EB0" w:rsidRDefault="00FF35BB" w:rsidP="00432EB0">
      <w:pPr>
        <w:pStyle w:val="Paragrafoelenco"/>
        <w:numPr>
          <w:ilvl w:val="0"/>
          <w:numId w:val="7"/>
        </w:numPr>
        <w:rPr>
          <w:b/>
          <w:sz w:val="28"/>
          <w:szCs w:val="32"/>
        </w:rPr>
      </w:pPr>
      <w:r w:rsidRPr="00432EB0">
        <w:rPr>
          <w:b/>
          <w:sz w:val="28"/>
          <w:szCs w:val="32"/>
        </w:rPr>
        <w:t>Gli investimenti dei privati</w:t>
      </w:r>
    </w:p>
    <w:p w:rsidR="00316319" w:rsidRDefault="00455266" w:rsidP="00316319">
      <w:pPr>
        <w:spacing w:before="120" w:after="0" w:line="276" w:lineRule="auto"/>
      </w:pPr>
      <w:r>
        <w:t xml:space="preserve">In tale scenario, </w:t>
      </w:r>
      <w:r w:rsidR="005F1FE4">
        <w:t xml:space="preserve">nel quale manca un forte sostegno pubblico al settore, </w:t>
      </w:r>
      <w:r>
        <w:t xml:space="preserve">anche il </w:t>
      </w:r>
      <w:r w:rsidRPr="00316319">
        <w:t>contributo dei privati</w:t>
      </w:r>
      <w:r>
        <w:t xml:space="preserve"> viene meno. </w:t>
      </w:r>
    </w:p>
    <w:p w:rsidR="00370358" w:rsidRDefault="00455266" w:rsidP="005F1FE4">
      <w:pPr>
        <w:spacing w:before="120" w:after="0" w:line="276" w:lineRule="auto"/>
        <w:jc w:val="both"/>
      </w:pPr>
      <w:r>
        <w:t xml:space="preserve">Sul fronte delle </w:t>
      </w:r>
      <w:r w:rsidRPr="005F1FE4">
        <w:rPr>
          <w:b/>
        </w:rPr>
        <w:t>sponsorizzazioni</w:t>
      </w:r>
      <w:r>
        <w:t xml:space="preserve"> a favore di cultura e spettacolo se </w:t>
      </w:r>
      <w:r w:rsidRPr="005F1FE4">
        <w:rPr>
          <w:b/>
        </w:rPr>
        <w:t>nel 2013 c'è una leggera ripresa (159 milioni, +6% rispetto al 2012)</w:t>
      </w:r>
      <w:r>
        <w:t xml:space="preserve">, nel lungo periodo, </w:t>
      </w:r>
      <w:r w:rsidRPr="005F1FE4">
        <w:rPr>
          <w:b/>
        </w:rPr>
        <w:t>tra il 2008 e il 2013, si evidenzia</w:t>
      </w:r>
      <w:r w:rsidR="0074642C" w:rsidRPr="005F1FE4">
        <w:rPr>
          <w:b/>
        </w:rPr>
        <w:t xml:space="preserve"> un calo del </w:t>
      </w:r>
      <w:r w:rsidRPr="005F1FE4">
        <w:rPr>
          <w:b/>
        </w:rPr>
        <w:t>41%</w:t>
      </w:r>
      <w:r w:rsidR="00291392" w:rsidRPr="00291392">
        <w:t xml:space="preserve">, </w:t>
      </w:r>
      <w:r w:rsidR="00291392">
        <w:t>le risorse sono</w:t>
      </w:r>
      <w:r w:rsidR="00DA68B7">
        <w:t>,</w:t>
      </w:r>
      <w:r w:rsidR="00291392">
        <w:t xml:space="preserve"> infatti</w:t>
      </w:r>
      <w:r w:rsidR="00DA68B7">
        <w:t>,</w:t>
      </w:r>
      <w:r w:rsidR="00291392">
        <w:t xml:space="preserve"> passate da 269 a 159 milioni di euro</w:t>
      </w:r>
      <w:r>
        <w:t xml:space="preserve">. </w:t>
      </w:r>
    </w:p>
    <w:p w:rsidR="005F1FE4" w:rsidRPr="005F1FE4" w:rsidRDefault="005F1FE4" w:rsidP="005F1FE4">
      <w:pPr>
        <w:spacing w:before="120" w:after="0" w:line="276" w:lineRule="auto"/>
        <w:jc w:val="center"/>
        <w:rPr>
          <w:b/>
          <w:sz w:val="20"/>
        </w:rPr>
      </w:pPr>
      <w:r w:rsidRPr="005F1FE4">
        <w:rPr>
          <w:b/>
          <w:sz w:val="20"/>
        </w:rPr>
        <w:t xml:space="preserve">Le sponsorizzazioni nella cultura - Var. </w:t>
      </w:r>
      <w:r>
        <w:rPr>
          <w:b/>
          <w:sz w:val="20"/>
        </w:rPr>
        <w:t xml:space="preserve">annuali </w:t>
      </w:r>
      <w:r w:rsidRPr="005F1FE4">
        <w:rPr>
          <w:b/>
          <w:sz w:val="20"/>
        </w:rPr>
        <w:t>2013/2008</w:t>
      </w:r>
    </w:p>
    <w:p w:rsidR="00370358" w:rsidRDefault="005F1FE4" w:rsidP="005F1FE4">
      <w:pPr>
        <w:spacing w:after="0" w:line="276" w:lineRule="auto"/>
        <w:jc w:val="center"/>
      </w:pPr>
      <w:r>
        <w:rPr>
          <w:noProof/>
          <w:lang w:eastAsia="it-IT"/>
        </w:rPr>
        <w:lastRenderedPageBreak/>
        <w:drawing>
          <wp:inline distT="0" distB="0" distL="0" distR="0" wp14:anchorId="3113B016" wp14:editId="792C7B81">
            <wp:extent cx="4110355" cy="1685925"/>
            <wp:effectExtent l="0" t="0" r="4445" b="9525"/>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F1FE4" w:rsidRPr="00331C30" w:rsidRDefault="005F1FE4" w:rsidP="005F1FE4">
      <w:pPr>
        <w:spacing w:after="0" w:line="276" w:lineRule="auto"/>
        <w:ind w:firstLine="284"/>
        <w:jc w:val="center"/>
        <w:rPr>
          <w:sz w:val="18"/>
        </w:rPr>
      </w:pPr>
      <w:r w:rsidRPr="00331C30">
        <w:rPr>
          <w:sz w:val="18"/>
        </w:rPr>
        <w:t xml:space="preserve">Fonte: elaborazioni Federculture su dati </w:t>
      </w:r>
      <w:r>
        <w:rPr>
          <w:sz w:val="18"/>
        </w:rPr>
        <w:t>Stageup</w:t>
      </w:r>
      <w:r w:rsidR="00304097">
        <w:rPr>
          <w:sz w:val="18"/>
        </w:rPr>
        <w:t>-Ipsos</w:t>
      </w:r>
    </w:p>
    <w:p w:rsidR="00455266" w:rsidRDefault="00455266" w:rsidP="005F1FE4">
      <w:pPr>
        <w:spacing w:before="120" w:after="0" w:line="276" w:lineRule="auto"/>
        <w:jc w:val="both"/>
      </w:pPr>
      <w:r w:rsidRPr="002231CD">
        <w:t>Il trend negativo riguarda anche il volume delle</w:t>
      </w:r>
      <w:r>
        <w:t xml:space="preserve"> </w:t>
      </w:r>
      <w:r w:rsidRPr="005F1FE4">
        <w:rPr>
          <w:b/>
        </w:rPr>
        <w:t>erogazioni derivanti dalle fondazioni bancarie</w:t>
      </w:r>
      <w:r>
        <w:t>: dal 2006 al 2011 hanno subito una riduzione del 31,2% alla quale si deve aggiungere un ulterior</w:t>
      </w:r>
      <w:r w:rsidR="0074642C">
        <w:t xml:space="preserve">e </w:t>
      </w:r>
      <w:r w:rsidR="0074642C" w:rsidRPr="005F1FE4">
        <w:rPr>
          <w:b/>
        </w:rPr>
        <w:t>calo del 9% dal 2011 al 2012</w:t>
      </w:r>
      <w:r w:rsidR="0074642C">
        <w:t>, ultimo anno di rilevazione</w:t>
      </w:r>
      <w:r w:rsidR="005F1FE4">
        <w:t>,</w:t>
      </w:r>
      <w:r w:rsidR="0074642C">
        <w:t xml:space="preserve"> nel quale risultano </w:t>
      </w:r>
      <w:r w:rsidR="0074642C" w:rsidRPr="005F1FE4">
        <w:rPr>
          <w:b/>
        </w:rPr>
        <w:t>pari a 305 milioni, 2</w:t>
      </w:r>
      <w:r w:rsidR="004121A3">
        <w:rPr>
          <w:b/>
        </w:rPr>
        <w:t>2</w:t>
      </w:r>
      <w:r w:rsidR="0074642C" w:rsidRPr="005F1FE4">
        <w:rPr>
          <w:b/>
        </w:rPr>
        <w:t>0 milioni circa in meno del 200</w:t>
      </w:r>
      <w:r w:rsidR="004121A3">
        <w:rPr>
          <w:b/>
        </w:rPr>
        <w:t>7</w:t>
      </w:r>
      <w:r w:rsidR="0074642C" w:rsidRPr="005F1FE4">
        <w:rPr>
          <w:b/>
        </w:rPr>
        <w:t xml:space="preserve"> </w:t>
      </w:r>
      <w:r w:rsidR="0074642C">
        <w:t xml:space="preserve">quando </w:t>
      </w:r>
      <w:r w:rsidR="004121A3">
        <w:t xml:space="preserve">avevano raggiunto il picco di </w:t>
      </w:r>
      <w:r w:rsidR="0074642C">
        <w:t>5</w:t>
      </w:r>
      <w:r w:rsidR="004121A3">
        <w:t>24</w:t>
      </w:r>
      <w:r w:rsidR="0074642C">
        <w:t xml:space="preserve"> milioni.</w:t>
      </w:r>
      <w:r>
        <w:t xml:space="preserve"> </w:t>
      </w:r>
    </w:p>
    <w:p w:rsidR="005F1FE4" w:rsidRDefault="005F1FE4" w:rsidP="005F1FE4">
      <w:pPr>
        <w:spacing w:after="0" w:line="276" w:lineRule="auto"/>
        <w:jc w:val="both"/>
      </w:pPr>
    </w:p>
    <w:tbl>
      <w:tblPr>
        <w:tblStyle w:val="Grigliatabella"/>
        <w:tblW w:w="0" w:type="auto"/>
        <w:tblLook w:val="04A0" w:firstRow="1" w:lastRow="0" w:firstColumn="1" w:lastColumn="0" w:noHBand="0" w:noVBand="1"/>
      </w:tblPr>
      <w:tblGrid>
        <w:gridCol w:w="3015"/>
        <w:gridCol w:w="948"/>
        <w:gridCol w:w="933"/>
        <w:gridCol w:w="948"/>
        <w:gridCol w:w="966"/>
        <w:gridCol w:w="966"/>
        <w:gridCol w:w="978"/>
        <w:gridCol w:w="874"/>
      </w:tblGrid>
      <w:tr w:rsidR="005F1FE4" w:rsidRPr="005F1FE4" w:rsidTr="00A2657C">
        <w:trPr>
          <w:trHeight w:val="277"/>
        </w:trPr>
        <w:tc>
          <w:tcPr>
            <w:tcW w:w="9628" w:type="dxa"/>
            <w:gridSpan w:val="8"/>
            <w:hideMark/>
          </w:tcPr>
          <w:p w:rsidR="005F1FE4" w:rsidRPr="005D04FA" w:rsidRDefault="005F1FE4" w:rsidP="005F1FE4">
            <w:pPr>
              <w:spacing w:before="120" w:line="276" w:lineRule="auto"/>
              <w:jc w:val="center"/>
              <w:rPr>
                <w:b/>
                <w:bCs/>
                <w:sz w:val="20"/>
                <w:szCs w:val="20"/>
              </w:rPr>
            </w:pPr>
            <w:r w:rsidRPr="005D04FA">
              <w:rPr>
                <w:b/>
                <w:bCs/>
                <w:sz w:val="20"/>
                <w:szCs w:val="20"/>
              </w:rPr>
              <w:t xml:space="preserve">Le erogazioni bancarie </w:t>
            </w:r>
            <w:r w:rsidRPr="005D04FA">
              <w:rPr>
                <w:i/>
                <w:iCs/>
                <w:sz w:val="20"/>
                <w:szCs w:val="20"/>
              </w:rPr>
              <w:t>(milioni di euro)</w:t>
            </w:r>
          </w:p>
        </w:tc>
      </w:tr>
      <w:tr w:rsidR="005F1FE4" w:rsidRPr="005F1FE4" w:rsidTr="005F1FE4">
        <w:trPr>
          <w:trHeight w:val="201"/>
        </w:trPr>
        <w:tc>
          <w:tcPr>
            <w:tcW w:w="3015" w:type="dxa"/>
            <w:hideMark/>
          </w:tcPr>
          <w:p w:rsidR="005F1FE4" w:rsidRPr="005F1FE4" w:rsidRDefault="005F1FE4" w:rsidP="005F1FE4">
            <w:pPr>
              <w:spacing w:before="120" w:line="276" w:lineRule="auto"/>
              <w:jc w:val="both"/>
              <w:rPr>
                <w:sz w:val="18"/>
                <w:szCs w:val="18"/>
              </w:rPr>
            </w:pPr>
            <w:r w:rsidRPr="005F1FE4">
              <w:rPr>
                <w:sz w:val="18"/>
                <w:szCs w:val="18"/>
              </w:rPr>
              <w:t xml:space="preserve">  </w:t>
            </w:r>
          </w:p>
        </w:tc>
        <w:tc>
          <w:tcPr>
            <w:tcW w:w="948" w:type="dxa"/>
            <w:hideMark/>
          </w:tcPr>
          <w:p w:rsidR="005F1FE4" w:rsidRPr="005F1FE4" w:rsidRDefault="005F1FE4" w:rsidP="005F1FE4">
            <w:pPr>
              <w:spacing w:before="120" w:line="276" w:lineRule="auto"/>
              <w:jc w:val="right"/>
              <w:rPr>
                <w:b/>
                <w:bCs/>
                <w:sz w:val="18"/>
                <w:szCs w:val="18"/>
              </w:rPr>
            </w:pPr>
            <w:r w:rsidRPr="005F1FE4">
              <w:rPr>
                <w:b/>
                <w:bCs/>
                <w:sz w:val="18"/>
                <w:szCs w:val="18"/>
              </w:rPr>
              <w:t>2006</w:t>
            </w:r>
          </w:p>
        </w:tc>
        <w:tc>
          <w:tcPr>
            <w:tcW w:w="933" w:type="dxa"/>
            <w:hideMark/>
          </w:tcPr>
          <w:p w:rsidR="005F1FE4" w:rsidRPr="005F1FE4" w:rsidRDefault="005F1FE4" w:rsidP="005F1FE4">
            <w:pPr>
              <w:spacing w:before="120" w:line="276" w:lineRule="auto"/>
              <w:jc w:val="right"/>
              <w:rPr>
                <w:b/>
                <w:bCs/>
                <w:sz w:val="18"/>
                <w:szCs w:val="18"/>
              </w:rPr>
            </w:pPr>
            <w:r w:rsidRPr="005F1FE4">
              <w:rPr>
                <w:b/>
                <w:bCs/>
                <w:sz w:val="18"/>
                <w:szCs w:val="18"/>
              </w:rPr>
              <w:t>2007</w:t>
            </w:r>
          </w:p>
        </w:tc>
        <w:tc>
          <w:tcPr>
            <w:tcW w:w="948" w:type="dxa"/>
            <w:hideMark/>
          </w:tcPr>
          <w:p w:rsidR="005F1FE4" w:rsidRPr="005F1FE4" w:rsidRDefault="005F1FE4" w:rsidP="005F1FE4">
            <w:pPr>
              <w:spacing w:before="120" w:line="276" w:lineRule="auto"/>
              <w:jc w:val="right"/>
              <w:rPr>
                <w:b/>
                <w:bCs/>
                <w:sz w:val="18"/>
                <w:szCs w:val="18"/>
              </w:rPr>
            </w:pPr>
            <w:r w:rsidRPr="005F1FE4">
              <w:rPr>
                <w:b/>
                <w:bCs/>
                <w:sz w:val="18"/>
                <w:szCs w:val="18"/>
              </w:rPr>
              <w:t>2008</w:t>
            </w:r>
          </w:p>
        </w:tc>
        <w:tc>
          <w:tcPr>
            <w:tcW w:w="966" w:type="dxa"/>
            <w:hideMark/>
          </w:tcPr>
          <w:p w:rsidR="005F1FE4" w:rsidRPr="005F1FE4" w:rsidRDefault="005F1FE4" w:rsidP="005F1FE4">
            <w:pPr>
              <w:spacing w:before="120" w:line="276" w:lineRule="auto"/>
              <w:jc w:val="right"/>
              <w:rPr>
                <w:b/>
                <w:bCs/>
                <w:sz w:val="18"/>
                <w:szCs w:val="18"/>
              </w:rPr>
            </w:pPr>
            <w:r w:rsidRPr="005F1FE4">
              <w:rPr>
                <w:b/>
                <w:bCs/>
                <w:sz w:val="18"/>
                <w:szCs w:val="18"/>
              </w:rPr>
              <w:t>2009</w:t>
            </w:r>
          </w:p>
        </w:tc>
        <w:tc>
          <w:tcPr>
            <w:tcW w:w="966" w:type="dxa"/>
            <w:hideMark/>
          </w:tcPr>
          <w:p w:rsidR="005F1FE4" w:rsidRPr="005F1FE4" w:rsidRDefault="005F1FE4" w:rsidP="005F1FE4">
            <w:pPr>
              <w:spacing w:before="120" w:line="276" w:lineRule="auto"/>
              <w:jc w:val="right"/>
              <w:rPr>
                <w:b/>
                <w:bCs/>
                <w:sz w:val="18"/>
                <w:szCs w:val="18"/>
              </w:rPr>
            </w:pPr>
            <w:r w:rsidRPr="005F1FE4">
              <w:rPr>
                <w:b/>
                <w:bCs/>
                <w:sz w:val="18"/>
                <w:szCs w:val="18"/>
              </w:rPr>
              <w:t>2010</w:t>
            </w:r>
          </w:p>
        </w:tc>
        <w:tc>
          <w:tcPr>
            <w:tcW w:w="978" w:type="dxa"/>
            <w:hideMark/>
          </w:tcPr>
          <w:p w:rsidR="005F1FE4" w:rsidRPr="005F1FE4" w:rsidRDefault="005F1FE4" w:rsidP="005F1FE4">
            <w:pPr>
              <w:spacing w:before="120" w:line="276" w:lineRule="auto"/>
              <w:jc w:val="right"/>
              <w:rPr>
                <w:b/>
                <w:bCs/>
                <w:sz w:val="18"/>
                <w:szCs w:val="18"/>
              </w:rPr>
            </w:pPr>
            <w:r w:rsidRPr="005F1FE4">
              <w:rPr>
                <w:b/>
                <w:bCs/>
                <w:sz w:val="18"/>
                <w:szCs w:val="18"/>
              </w:rPr>
              <w:t>2011</w:t>
            </w:r>
          </w:p>
        </w:tc>
        <w:tc>
          <w:tcPr>
            <w:tcW w:w="874" w:type="dxa"/>
            <w:hideMark/>
          </w:tcPr>
          <w:p w:rsidR="005F1FE4" w:rsidRPr="005F1FE4" w:rsidRDefault="005F1FE4" w:rsidP="005F1FE4">
            <w:pPr>
              <w:spacing w:before="120" w:line="276" w:lineRule="auto"/>
              <w:jc w:val="right"/>
              <w:rPr>
                <w:b/>
                <w:bCs/>
                <w:sz w:val="18"/>
                <w:szCs w:val="18"/>
              </w:rPr>
            </w:pPr>
            <w:r w:rsidRPr="005F1FE4">
              <w:rPr>
                <w:b/>
                <w:bCs/>
                <w:sz w:val="18"/>
                <w:szCs w:val="18"/>
              </w:rPr>
              <w:t>2012</w:t>
            </w:r>
          </w:p>
        </w:tc>
      </w:tr>
      <w:tr w:rsidR="005F1FE4" w:rsidRPr="005F1FE4" w:rsidTr="005F1FE4">
        <w:trPr>
          <w:trHeight w:val="510"/>
        </w:trPr>
        <w:tc>
          <w:tcPr>
            <w:tcW w:w="3015" w:type="dxa"/>
            <w:hideMark/>
          </w:tcPr>
          <w:p w:rsidR="005F1FE4" w:rsidRPr="005F1FE4" w:rsidRDefault="005F1FE4" w:rsidP="005F1FE4">
            <w:pPr>
              <w:spacing w:before="120" w:line="276" w:lineRule="auto"/>
              <w:jc w:val="both"/>
              <w:rPr>
                <w:b/>
                <w:bCs/>
                <w:sz w:val="18"/>
                <w:szCs w:val="18"/>
              </w:rPr>
            </w:pPr>
            <w:r w:rsidRPr="005F1FE4">
              <w:rPr>
                <w:b/>
                <w:bCs/>
                <w:sz w:val="18"/>
                <w:szCs w:val="18"/>
              </w:rPr>
              <w:t xml:space="preserve">ARTE, ATTIVITA’ E BENI CULTURALI  </w:t>
            </w:r>
          </w:p>
        </w:tc>
        <w:tc>
          <w:tcPr>
            <w:tcW w:w="948" w:type="dxa"/>
            <w:hideMark/>
          </w:tcPr>
          <w:p w:rsidR="005F1FE4" w:rsidRPr="005F1FE4" w:rsidRDefault="005F1FE4" w:rsidP="005F1FE4">
            <w:pPr>
              <w:spacing w:before="120" w:line="276" w:lineRule="auto"/>
              <w:jc w:val="right"/>
              <w:rPr>
                <w:bCs/>
                <w:sz w:val="18"/>
                <w:szCs w:val="18"/>
              </w:rPr>
            </w:pPr>
            <w:r w:rsidRPr="005F1FE4">
              <w:rPr>
                <w:bCs/>
                <w:sz w:val="18"/>
                <w:szCs w:val="18"/>
              </w:rPr>
              <w:t>487,8</w:t>
            </w:r>
          </w:p>
        </w:tc>
        <w:tc>
          <w:tcPr>
            <w:tcW w:w="933" w:type="dxa"/>
            <w:hideMark/>
          </w:tcPr>
          <w:p w:rsidR="005F1FE4" w:rsidRPr="005F1FE4" w:rsidRDefault="005F1FE4" w:rsidP="005F1FE4">
            <w:pPr>
              <w:spacing w:before="120" w:line="276" w:lineRule="auto"/>
              <w:jc w:val="right"/>
              <w:rPr>
                <w:bCs/>
                <w:sz w:val="18"/>
                <w:szCs w:val="18"/>
              </w:rPr>
            </w:pPr>
            <w:r w:rsidRPr="005F1FE4">
              <w:rPr>
                <w:bCs/>
                <w:sz w:val="18"/>
                <w:szCs w:val="18"/>
              </w:rPr>
              <w:t>524,2</w:t>
            </w:r>
          </w:p>
        </w:tc>
        <w:tc>
          <w:tcPr>
            <w:tcW w:w="948" w:type="dxa"/>
            <w:hideMark/>
          </w:tcPr>
          <w:p w:rsidR="005F1FE4" w:rsidRPr="005F1FE4" w:rsidRDefault="005F1FE4" w:rsidP="005F1FE4">
            <w:pPr>
              <w:spacing w:before="120" w:line="276" w:lineRule="auto"/>
              <w:jc w:val="right"/>
              <w:rPr>
                <w:bCs/>
                <w:sz w:val="18"/>
                <w:szCs w:val="18"/>
              </w:rPr>
            </w:pPr>
            <w:r w:rsidRPr="005F1FE4">
              <w:rPr>
                <w:bCs/>
                <w:sz w:val="18"/>
                <w:szCs w:val="18"/>
              </w:rPr>
              <w:t>513,1</w:t>
            </w:r>
          </w:p>
        </w:tc>
        <w:tc>
          <w:tcPr>
            <w:tcW w:w="966" w:type="dxa"/>
            <w:hideMark/>
          </w:tcPr>
          <w:p w:rsidR="005F1FE4" w:rsidRPr="005F1FE4" w:rsidRDefault="005F1FE4" w:rsidP="005F1FE4">
            <w:pPr>
              <w:spacing w:before="120" w:line="276" w:lineRule="auto"/>
              <w:jc w:val="right"/>
              <w:rPr>
                <w:bCs/>
                <w:sz w:val="18"/>
                <w:szCs w:val="18"/>
              </w:rPr>
            </w:pPr>
            <w:r w:rsidRPr="005F1FE4">
              <w:rPr>
                <w:bCs/>
                <w:sz w:val="18"/>
                <w:szCs w:val="18"/>
              </w:rPr>
              <w:t>408</w:t>
            </w:r>
          </w:p>
        </w:tc>
        <w:tc>
          <w:tcPr>
            <w:tcW w:w="966" w:type="dxa"/>
            <w:hideMark/>
          </w:tcPr>
          <w:p w:rsidR="005F1FE4" w:rsidRPr="005F1FE4" w:rsidRDefault="005F1FE4" w:rsidP="005F1FE4">
            <w:pPr>
              <w:spacing w:before="120" w:line="276" w:lineRule="auto"/>
              <w:jc w:val="right"/>
              <w:rPr>
                <w:bCs/>
                <w:sz w:val="18"/>
                <w:szCs w:val="18"/>
              </w:rPr>
            </w:pPr>
            <w:r w:rsidRPr="005F1FE4">
              <w:rPr>
                <w:bCs/>
                <w:sz w:val="18"/>
                <w:szCs w:val="18"/>
              </w:rPr>
              <w:t>413</w:t>
            </w:r>
          </w:p>
        </w:tc>
        <w:tc>
          <w:tcPr>
            <w:tcW w:w="978" w:type="dxa"/>
            <w:hideMark/>
          </w:tcPr>
          <w:p w:rsidR="005F1FE4" w:rsidRPr="005F1FE4" w:rsidRDefault="005F1FE4" w:rsidP="005F1FE4">
            <w:pPr>
              <w:spacing w:before="120" w:line="276" w:lineRule="auto"/>
              <w:jc w:val="right"/>
              <w:rPr>
                <w:bCs/>
                <w:sz w:val="18"/>
                <w:szCs w:val="18"/>
              </w:rPr>
            </w:pPr>
            <w:r w:rsidRPr="005F1FE4">
              <w:rPr>
                <w:bCs/>
                <w:sz w:val="18"/>
                <w:szCs w:val="18"/>
              </w:rPr>
              <w:t>335,4</w:t>
            </w:r>
          </w:p>
        </w:tc>
        <w:tc>
          <w:tcPr>
            <w:tcW w:w="874" w:type="dxa"/>
            <w:hideMark/>
          </w:tcPr>
          <w:p w:rsidR="005F1FE4" w:rsidRPr="005F1FE4" w:rsidRDefault="005F1FE4" w:rsidP="005F1FE4">
            <w:pPr>
              <w:spacing w:before="120" w:line="276" w:lineRule="auto"/>
              <w:jc w:val="right"/>
              <w:rPr>
                <w:bCs/>
                <w:sz w:val="18"/>
                <w:szCs w:val="18"/>
              </w:rPr>
            </w:pPr>
            <w:r w:rsidRPr="005F1FE4">
              <w:rPr>
                <w:bCs/>
                <w:sz w:val="18"/>
                <w:szCs w:val="18"/>
              </w:rPr>
              <w:t>305,3</w:t>
            </w:r>
          </w:p>
        </w:tc>
      </w:tr>
    </w:tbl>
    <w:p w:rsidR="005F1FE4" w:rsidRPr="00331C30" w:rsidRDefault="005F1FE4" w:rsidP="005F1FE4">
      <w:pPr>
        <w:spacing w:after="0" w:line="276" w:lineRule="auto"/>
        <w:rPr>
          <w:sz w:val="18"/>
        </w:rPr>
      </w:pPr>
      <w:r w:rsidRPr="00331C30">
        <w:rPr>
          <w:sz w:val="18"/>
        </w:rPr>
        <w:t xml:space="preserve">Fonte: </w:t>
      </w:r>
      <w:r>
        <w:rPr>
          <w:sz w:val="18"/>
        </w:rPr>
        <w:t>ACRI</w:t>
      </w:r>
    </w:p>
    <w:p w:rsidR="005F1FE4" w:rsidRDefault="005F1FE4" w:rsidP="005F1FE4">
      <w:pPr>
        <w:spacing w:after="0" w:line="276" w:lineRule="auto"/>
        <w:jc w:val="both"/>
      </w:pPr>
    </w:p>
    <w:p w:rsidR="00343EC8" w:rsidRDefault="00343EC8" w:rsidP="005F1FE4">
      <w:pPr>
        <w:spacing w:before="120" w:after="0" w:line="276" w:lineRule="auto"/>
        <w:jc w:val="both"/>
      </w:pPr>
      <w:r>
        <w:t xml:space="preserve">Anche </w:t>
      </w:r>
      <w:r w:rsidR="000937DF">
        <w:t xml:space="preserve">nell’ambito </w:t>
      </w:r>
      <w:r>
        <w:t xml:space="preserve">delle </w:t>
      </w:r>
      <w:r w:rsidRPr="005F1FE4">
        <w:rPr>
          <w:b/>
        </w:rPr>
        <w:t>erogazioni liberali da parte dei privati</w:t>
      </w:r>
      <w:r w:rsidR="004121A3">
        <w:t xml:space="preserve"> (persone fisiche, </w:t>
      </w:r>
      <w:r w:rsidR="00316319">
        <w:t>imprese ed enti commerciali) si assiste ad un netto calo delle risorse: nel 2008 quelle che affluivano alla cultura grazie all’</w:t>
      </w:r>
      <w:r w:rsidR="00316319" w:rsidRPr="00316319">
        <w:t xml:space="preserve">art. 100 e </w:t>
      </w:r>
      <w:r w:rsidR="00316319">
        <w:t>all’</w:t>
      </w:r>
      <w:r w:rsidR="00316319" w:rsidRPr="00316319">
        <w:t xml:space="preserve">art. 15 </w:t>
      </w:r>
      <w:r w:rsidR="00316319">
        <w:t xml:space="preserve">del </w:t>
      </w:r>
      <w:r w:rsidR="00316319" w:rsidRPr="00316319">
        <w:t>T.U.I.R.</w:t>
      </w:r>
      <w:r w:rsidR="00316319">
        <w:t xml:space="preserve"> erano 60,9 milioni di euro, </w:t>
      </w:r>
      <w:r w:rsidR="00316319" w:rsidRPr="005F1FE4">
        <w:rPr>
          <w:b/>
        </w:rPr>
        <w:t>nel 2012 sono state 45,3 milioni il 26,6% in meno</w:t>
      </w:r>
      <w:r w:rsidR="00316319">
        <w:t>. Di queste il calo più significativo è quello registrato nelle erogazioni provenienti da privati ed enti non commerciali che in un solo anno (2012/2011) diminuiscono di oltre 10 milioni, il 37% in meno.</w:t>
      </w:r>
    </w:p>
    <w:p w:rsidR="000937DF" w:rsidRDefault="000937DF" w:rsidP="000937DF">
      <w:pPr>
        <w:spacing w:before="120" w:after="0" w:line="276" w:lineRule="auto"/>
      </w:pPr>
    </w:p>
    <w:p w:rsidR="00455266" w:rsidRDefault="000937DF" w:rsidP="00304097">
      <w:pPr>
        <w:pBdr>
          <w:top w:val="single" w:sz="4" w:space="3" w:color="auto"/>
          <w:left w:val="single" w:sz="4" w:space="4" w:color="auto"/>
          <w:bottom w:val="single" w:sz="4" w:space="3" w:color="auto"/>
          <w:right w:val="single" w:sz="4" w:space="4" w:color="auto"/>
        </w:pBdr>
        <w:shd w:val="clear" w:color="auto" w:fill="FFFFCC"/>
        <w:jc w:val="both"/>
      </w:pPr>
      <w:r>
        <w:t xml:space="preserve">Gli </w:t>
      </w:r>
      <w:r w:rsidRPr="000937DF">
        <w:rPr>
          <w:b/>
        </w:rPr>
        <w:t>investimenti dei privati</w:t>
      </w:r>
      <w:r>
        <w:t xml:space="preserve"> </w:t>
      </w:r>
      <w:r w:rsidR="002F60EB">
        <w:t xml:space="preserve">(sponsorizzazioni, erogazioni liberali, investimenti delle fondazioni bancarie) </w:t>
      </w:r>
      <w:r>
        <w:t xml:space="preserve">nel settore culturale </w:t>
      </w:r>
      <w:r w:rsidRPr="000937DF">
        <w:rPr>
          <w:b/>
        </w:rPr>
        <w:t>dall’inizio della crisi, 2008, ad oggi sono calati di circa 350 milioni</w:t>
      </w:r>
      <w:r>
        <w:t xml:space="preserve"> di euro, vale a </w:t>
      </w:r>
      <w:r w:rsidRPr="000937DF">
        <w:t>dire</w:t>
      </w:r>
      <w:r w:rsidRPr="000937DF">
        <w:rPr>
          <w:b/>
        </w:rPr>
        <w:t xml:space="preserve"> il 40% in meno</w:t>
      </w:r>
      <w:r>
        <w:t xml:space="preserve">. </w:t>
      </w:r>
    </w:p>
    <w:p w:rsidR="000937DF" w:rsidRDefault="000937DF" w:rsidP="00455266">
      <w:pPr>
        <w:rPr>
          <w:b/>
          <w:sz w:val="32"/>
          <w:szCs w:val="32"/>
        </w:rPr>
      </w:pPr>
    </w:p>
    <w:p w:rsidR="000937DF" w:rsidRPr="000937DF" w:rsidRDefault="000937DF" w:rsidP="000937DF">
      <w:pPr>
        <w:pStyle w:val="Paragrafoelenco"/>
        <w:numPr>
          <w:ilvl w:val="0"/>
          <w:numId w:val="7"/>
        </w:numPr>
        <w:rPr>
          <w:b/>
          <w:sz w:val="28"/>
          <w:szCs w:val="32"/>
        </w:rPr>
      </w:pPr>
      <w:r w:rsidRPr="000937DF">
        <w:rPr>
          <w:b/>
          <w:sz w:val="28"/>
          <w:szCs w:val="32"/>
        </w:rPr>
        <w:t>Domanda</w:t>
      </w:r>
      <w:r>
        <w:rPr>
          <w:b/>
          <w:sz w:val="28"/>
          <w:szCs w:val="32"/>
        </w:rPr>
        <w:t>, p</w:t>
      </w:r>
      <w:r w:rsidRPr="000937DF">
        <w:rPr>
          <w:b/>
          <w:sz w:val="28"/>
          <w:szCs w:val="32"/>
        </w:rPr>
        <w:t>artecipazione</w:t>
      </w:r>
      <w:r>
        <w:rPr>
          <w:b/>
          <w:sz w:val="28"/>
          <w:szCs w:val="32"/>
        </w:rPr>
        <w:t>, consumi culturali</w:t>
      </w:r>
    </w:p>
    <w:p w:rsidR="00A5024C" w:rsidRPr="007E1F40" w:rsidRDefault="000937DF" w:rsidP="007E1F40">
      <w:pPr>
        <w:spacing w:before="240" w:after="120" w:line="276" w:lineRule="auto"/>
        <w:jc w:val="both"/>
        <w:rPr>
          <w:b/>
        </w:rPr>
      </w:pPr>
      <w:r>
        <w:t xml:space="preserve">La </w:t>
      </w:r>
      <w:r w:rsidRPr="000937DF">
        <w:rPr>
          <w:b/>
        </w:rPr>
        <w:t>spesa delle famiglie italiane per cultura e ricreazione</w:t>
      </w:r>
      <w:r>
        <w:t xml:space="preserve"> nel </w:t>
      </w:r>
      <w:r w:rsidRPr="000937DF">
        <w:rPr>
          <w:b/>
        </w:rPr>
        <w:t>2013</w:t>
      </w:r>
      <w:r>
        <w:t xml:space="preserve"> è stata pari a </w:t>
      </w:r>
      <w:r w:rsidRPr="000937DF">
        <w:rPr>
          <w:b/>
        </w:rPr>
        <w:t>66,6 miliardi</w:t>
      </w:r>
      <w:r w:rsidR="007066A4">
        <w:rPr>
          <w:b/>
        </w:rPr>
        <w:t xml:space="preserve"> di euro</w:t>
      </w:r>
      <w:r w:rsidR="007E1F40" w:rsidRPr="007E1F40">
        <w:t xml:space="preserve">, </w:t>
      </w:r>
      <w:r w:rsidR="007E1F40">
        <w:t>che corrispondono</w:t>
      </w:r>
      <w:r w:rsidR="007E1F40" w:rsidRPr="007E1F40">
        <w:t xml:space="preserve"> ad una </w:t>
      </w:r>
      <w:r w:rsidR="007E1F40">
        <w:rPr>
          <w:b/>
        </w:rPr>
        <w:t xml:space="preserve">spesa per nucleo familiare </w:t>
      </w:r>
      <w:r w:rsidR="009F4E77">
        <w:rPr>
          <w:b/>
        </w:rPr>
        <w:t xml:space="preserve">annua di 2.700 euro e mensile </w:t>
      </w:r>
      <w:r w:rsidR="007E1F40">
        <w:rPr>
          <w:b/>
        </w:rPr>
        <w:t>di circa 225 euro.</w:t>
      </w:r>
    </w:p>
    <w:tbl>
      <w:tblPr>
        <w:tblW w:w="10583" w:type="dxa"/>
        <w:tblInd w:w="-431" w:type="dxa"/>
        <w:tblCellMar>
          <w:left w:w="70" w:type="dxa"/>
          <w:right w:w="70" w:type="dxa"/>
        </w:tblCellMar>
        <w:tblLook w:val="04A0" w:firstRow="1" w:lastRow="0" w:firstColumn="1" w:lastColumn="0" w:noHBand="0" w:noVBand="1"/>
      </w:tblPr>
      <w:tblGrid>
        <w:gridCol w:w="1379"/>
        <w:gridCol w:w="733"/>
        <w:gridCol w:w="733"/>
        <w:gridCol w:w="733"/>
        <w:gridCol w:w="733"/>
        <w:gridCol w:w="733"/>
        <w:gridCol w:w="733"/>
        <w:gridCol w:w="733"/>
        <w:gridCol w:w="733"/>
        <w:gridCol w:w="733"/>
        <w:gridCol w:w="733"/>
        <w:gridCol w:w="733"/>
        <w:gridCol w:w="1141"/>
      </w:tblGrid>
      <w:tr w:rsidR="009F4E77" w:rsidRPr="00A5024C" w:rsidTr="009F4E77">
        <w:trPr>
          <w:trHeight w:val="315"/>
        </w:trPr>
        <w:tc>
          <w:tcPr>
            <w:tcW w:w="10583" w:type="dxa"/>
            <w:gridSpan w:val="13"/>
            <w:tcBorders>
              <w:top w:val="single" w:sz="4" w:space="0" w:color="auto"/>
              <w:left w:val="single" w:sz="4" w:space="0" w:color="auto"/>
              <w:bottom w:val="single" w:sz="4" w:space="0" w:color="auto"/>
              <w:right w:val="single" w:sz="4" w:space="0" w:color="auto"/>
            </w:tcBorders>
            <w:shd w:val="clear" w:color="000000" w:fill="FFFFFF"/>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 xml:space="preserve">Spesa delle famiglie italiane - Valori a prezzi correnti </w:t>
            </w:r>
            <w:r w:rsidRPr="00A5024C">
              <w:rPr>
                <w:rFonts w:eastAsia="Times New Roman" w:cs="Arial"/>
                <w:i/>
                <w:iCs/>
                <w:sz w:val="18"/>
                <w:szCs w:val="18"/>
                <w:lang w:eastAsia="it-IT"/>
              </w:rPr>
              <w:t>(milioni di euro)</w:t>
            </w:r>
          </w:p>
        </w:tc>
      </w:tr>
      <w:tr w:rsidR="009F4E77" w:rsidRPr="00A5024C" w:rsidTr="009F4E77">
        <w:trPr>
          <w:trHeight w:val="630"/>
        </w:trPr>
        <w:tc>
          <w:tcPr>
            <w:tcW w:w="1379" w:type="dxa"/>
            <w:tcBorders>
              <w:top w:val="nil"/>
              <w:left w:val="single" w:sz="4" w:space="0" w:color="auto"/>
              <w:bottom w:val="single" w:sz="4" w:space="0" w:color="auto"/>
              <w:right w:val="single" w:sz="4" w:space="0" w:color="auto"/>
            </w:tcBorders>
            <w:shd w:val="clear" w:color="auto" w:fill="auto"/>
            <w:hideMark/>
          </w:tcPr>
          <w:p w:rsidR="009F4E77" w:rsidRPr="00A5024C" w:rsidRDefault="009F4E77" w:rsidP="00A5024C">
            <w:pPr>
              <w:spacing w:after="0" w:line="240" w:lineRule="auto"/>
              <w:jc w:val="center"/>
              <w:rPr>
                <w:rFonts w:eastAsia="Times New Roman" w:cs="Arial"/>
                <w:sz w:val="18"/>
                <w:szCs w:val="18"/>
                <w:lang w:eastAsia="it-IT"/>
              </w:rPr>
            </w:pPr>
            <w:r w:rsidRPr="00A5024C">
              <w:rPr>
                <w:rFonts w:eastAsia="Times New Roman" w:cs="Arial"/>
                <w:sz w:val="18"/>
                <w:szCs w:val="18"/>
                <w:lang w:eastAsia="it-IT"/>
              </w:rPr>
              <w:t> </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2003</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2004</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2005</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2006</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2007</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2008</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2009</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2010</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2011</w:t>
            </w:r>
          </w:p>
        </w:tc>
        <w:tc>
          <w:tcPr>
            <w:tcW w:w="0" w:type="auto"/>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2012</w:t>
            </w:r>
          </w:p>
        </w:tc>
        <w:tc>
          <w:tcPr>
            <w:tcW w:w="733" w:type="dxa"/>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2013</w:t>
            </w:r>
          </w:p>
        </w:tc>
        <w:tc>
          <w:tcPr>
            <w:tcW w:w="1141" w:type="dxa"/>
            <w:tcBorders>
              <w:top w:val="nil"/>
              <w:left w:val="nil"/>
              <w:bottom w:val="single" w:sz="4" w:space="0" w:color="auto"/>
              <w:right w:val="single" w:sz="4" w:space="0" w:color="auto"/>
            </w:tcBorders>
            <w:shd w:val="clear" w:color="000000" w:fill="C0C0C0"/>
            <w:vAlign w:val="center"/>
            <w:hideMark/>
          </w:tcPr>
          <w:p w:rsidR="009F4E77" w:rsidRPr="00A5024C" w:rsidRDefault="009F4E77" w:rsidP="00A5024C">
            <w:pPr>
              <w:spacing w:after="0" w:line="240" w:lineRule="auto"/>
              <w:jc w:val="center"/>
              <w:rPr>
                <w:rFonts w:eastAsia="Times New Roman" w:cs="Arial"/>
                <w:b/>
                <w:bCs/>
                <w:sz w:val="18"/>
                <w:szCs w:val="18"/>
                <w:lang w:eastAsia="it-IT"/>
              </w:rPr>
            </w:pPr>
            <w:r w:rsidRPr="00A5024C">
              <w:rPr>
                <w:rFonts w:eastAsia="Times New Roman" w:cs="Arial"/>
                <w:b/>
                <w:bCs/>
                <w:sz w:val="18"/>
                <w:szCs w:val="18"/>
                <w:lang w:eastAsia="it-IT"/>
              </w:rPr>
              <w:t>Var. 2013/2012</w:t>
            </w:r>
          </w:p>
        </w:tc>
      </w:tr>
      <w:tr w:rsidR="009F4E77" w:rsidRPr="00A5024C" w:rsidTr="00CA511F">
        <w:trPr>
          <w:trHeight w:val="753"/>
        </w:trPr>
        <w:tc>
          <w:tcPr>
            <w:tcW w:w="1379" w:type="dxa"/>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9F4E77" w:rsidRPr="00A5024C" w:rsidRDefault="009F4E77" w:rsidP="00A5024C">
            <w:pPr>
              <w:spacing w:after="0" w:line="240" w:lineRule="auto"/>
              <w:jc w:val="center"/>
              <w:rPr>
                <w:rFonts w:eastAsia="Times New Roman" w:cs="Arial"/>
                <w:b/>
                <w:bCs/>
                <w:i/>
                <w:iCs/>
                <w:sz w:val="18"/>
                <w:szCs w:val="18"/>
                <w:lang w:eastAsia="it-IT"/>
              </w:rPr>
            </w:pPr>
            <w:r w:rsidRPr="00A5024C">
              <w:rPr>
                <w:rFonts w:eastAsia="Times New Roman" w:cs="Arial"/>
                <w:b/>
                <w:bCs/>
                <w:i/>
                <w:iCs/>
                <w:sz w:val="18"/>
                <w:szCs w:val="18"/>
                <w:lang w:eastAsia="it-IT"/>
              </w:rPr>
              <w:t>SPESA IN RICREAZIONE E CULTURA</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58.261</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61.726</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60.718</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63.562</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66.168</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66.220</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66.382</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70.208</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71.516</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68.548</w:t>
            </w:r>
          </w:p>
        </w:tc>
        <w:tc>
          <w:tcPr>
            <w:tcW w:w="733" w:type="dxa"/>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66.589</w:t>
            </w:r>
          </w:p>
        </w:tc>
        <w:tc>
          <w:tcPr>
            <w:tcW w:w="1141" w:type="dxa"/>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b/>
                <w:bCs/>
                <w:sz w:val="18"/>
                <w:szCs w:val="18"/>
                <w:lang w:eastAsia="it-IT"/>
              </w:rPr>
            </w:pPr>
            <w:r w:rsidRPr="00A5024C">
              <w:rPr>
                <w:rFonts w:eastAsia="Times New Roman" w:cs="Arial"/>
                <w:b/>
                <w:bCs/>
                <w:color w:val="FF0000"/>
                <w:sz w:val="18"/>
                <w:szCs w:val="18"/>
                <w:lang w:eastAsia="it-IT"/>
              </w:rPr>
              <w:t>-3%</w:t>
            </w:r>
          </w:p>
        </w:tc>
      </w:tr>
      <w:tr w:rsidR="009F4E77" w:rsidRPr="00A5024C" w:rsidTr="00CA511F">
        <w:trPr>
          <w:trHeight w:val="551"/>
        </w:trPr>
        <w:tc>
          <w:tcPr>
            <w:tcW w:w="1379" w:type="dxa"/>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9F4E77" w:rsidRPr="00A5024C" w:rsidRDefault="009F4E77" w:rsidP="00A5024C">
            <w:pPr>
              <w:spacing w:after="0" w:line="240" w:lineRule="auto"/>
              <w:jc w:val="center"/>
              <w:rPr>
                <w:rFonts w:eastAsia="Times New Roman" w:cs="Arial"/>
                <w:b/>
                <w:bCs/>
                <w:i/>
                <w:iCs/>
                <w:sz w:val="18"/>
                <w:szCs w:val="18"/>
                <w:lang w:eastAsia="it-IT"/>
              </w:rPr>
            </w:pPr>
            <w:r w:rsidRPr="00A5024C">
              <w:rPr>
                <w:rFonts w:eastAsia="Times New Roman" w:cs="Arial"/>
                <w:b/>
                <w:bCs/>
                <w:i/>
                <w:iCs/>
                <w:sz w:val="18"/>
                <w:szCs w:val="18"/>
                <w:lang w:eastAsia="it-IT"/>
              </w:rPr>
              <w:t>SPESA FAMIGLIE</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801.946</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830.303</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857.010</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891.925</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920.948</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940.666</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923.270</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950.502</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975.957</w:t>
            </w:r>
          </w:p>
        </w:tc>
        <w:tc>
          <w:tcPr>
            <w:tcW w:w="0" w:type="auto"/>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964.052</w:t>
            </w:r>
          </w:p>
        </w:tc>
        <w:tc>
          <w:tcPr>
            <w:tcW w:w="733" w:type="dxa"/>
            <w:tcBorders>
              <w:top w:val="nil"/>
              <w:left w:val="nil"/>
              <w:bottom w:val="single" w:sz="4" w:space="0" w:color="auto"/>
              <w:right w:val="single" w:sz="4" w:space="0" w:color="auto"/>
            </w:tcBorders>
            <w:shd w:val="clear" w:color="000000" w:fill="FFFFFF"/>
            <w:noWrap/>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952.379</w:t>
            </w:r>
          </w:p>
        </w:tc>
        <w:tc>
          <w:tcPr>
            <w:tcW w:w="1141" w:type="dxa"/>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b/>
                <w:bCs/>
                <w:sz w:val="18"/>
                <w:szCs w:val="18"/>
                <w:lang w:eastAsia="it-IT"/>
              </w:rPr>
            </w:pPr>
            <w:r w:rsidRPr="00A5024C">
              <w:rPr>
                <w:rFonts w:eastAsia="Times New Roman" w:cs="Arial"/>
                <w:b/>
                <w:bCs/>
                <w:sz w:val="18"/>
                <w:szCs w:val="18"/>
                <w:lang w:eastAsia="it-IT"/>
              </w:rPr>
              <w:t>-1%</w:t>
            </w:r>
          </w:p>
        </w:tc>
      </w:tr>
      <w:tr w:rsidR="009F4E77" w:rsidRPr="00A5024C" w:rsidTr="00CA511F">
        <w:trPr>
          <w:gridAfter w:val="1"/>
          <w:wAfter w:w="1141" w:type="dxa"/>
          <w:trHeight w:val="915"/>
        </w:trPr>
        <w:tc>
          <w:tcPr>
            <w:tcW w:w="1379" w:type="dxa"/>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9F4E77" w:rsidRPr="00A5024C" w:rsidRDefault="009F4E77" w:rsidP="00A5024C">
            <w:pPr>
              <w:spacing w:after="0" w:line="240" w:lineRule="auto"/>
              <w:jc w:val="center"/>
              <w:rPr>
                <w:rFonts w:eastAsia="Times New Roman" w:cs="Arial"/>
                <w:b/>
                <w:bCs/>
                <w:i/>
                <w:iCs/>
                <w:sz w:val="18"/>
                <w:szCs w:val="18"/>
                <w:lang w:eastAsia="it-IT"/>
              </w:rPr>
            </w:pPr>
            <w:r w:rsidRPr="00A5024C">
              <w:rPr>
                <w:rFonts w:eastAsia="Times New Roman" w:cs="Arial"/>
                <w:b/>
                <w:bCs/>
                <w:i/>
                <w:iCs/>
                <w:sz w:val="18"/>
                <w:szCs w:val="18"/>
                <w:lang w:eastAsia="it-IT"/>
              </w:rPr>
              <w:t>INCIDENZA SPESA IN CULTURA SULLA SPESA TOTALE</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7,3%</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7,4%</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7,1%</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7,1%</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7,2%</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7,0%</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7,2%</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7,4%</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7,3%</w:t>
            </w:r>
          </w:p>
        </w:tc>
        <w:tc>
          <w:tcPr>
            <w:tcW w:w="0" w:type="auto"/>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7,1%</w:t>
            </w:r>
          </w:p>
        </w:tc>
        <w:tc>
          <w:tcPr>
            <w:tcW w:w="733" w:type="dxa"/>
            <w:tcBorders>
              <w:top w:val="nil"/>
              <w:left w:val="nil"/>
              <w:bottom w:val="single" w:sz="4" w:space="0" w:color="auto"/>
              <w:right w:val="single" w:sz="4" w:space="0" w:color="auto"/>
            </w:tcBorders>
            <w:shd w:val="clear" w:color="auto" w:fill="auto"/>
            <w:vAlign w:val="center"/>
            <w:hideMark/>
          </w:tcPr>
          <w:p w:rsidR="009F4E77" w:rsidRPr="00A5024C" w:rsidRDefault="009F4E77" w:rsidP="00A5024C">
            <w:pPr>
              <w:spacing w:after="0" w:line="240" w:lineRule="auto"/>
              <w:jc w:val="right"/>
              <w:rPr>
                <w:rFonts w:eastAsia="Times New Roman" w:cs="Arial"/>
                <w:sz w:val="18"/>
                <w:szCs w:val="18"/>
                <w:lang w:eastAsia="it-IT"/>
              </w:rPr>
            </w:pPr>
            <w:r w:rsidRPr="00A5024C">
              <w:rPr>
                <w:rFonts w:eastAsia="Times New Roman" w:cs="Arial"/>
                <w:sz w:val="18"/>
                <w:szCs w:val="18"/>
                <w:lang w:eastAsia="it-IT"/>
              </w:rPr>
              <w:t>7,0%</w:t>
            </w:r>
          </w:p>
        </w:tc>
      </w:tr>
    </w:tbl>
    <w:p w:rsidR="00A5024C" w:rsidRDefault="00A5024C" w:rsidP="00A5024C">
      <w:pPr>
        <w:spacing w:after="0" w:line="276" w:lineRule="auto"/>
        <w:ind w:firstLine="284"/>
        <w:rPr>
          <w:sz w:val="18"/>
        </w:rPr>
      </w:pPr>
      <w:r w:rsidRPr="00331C30">
        <w:rPr>
          <w:sz w:val="18"/>
        </w:rPr>
        <w:t xml:space="preserve">Fonte: elaborazioni Federculture su dati </w:t>
      </w:r>
      <w:r>
        <w:rPr>
          <w:sz w:val="18"/>
        </w:rPr>
        <w:t>ISTAT</w:t>
      </w:r>
    </w:p>
    <w:p w:rsidR="007E1F40" w:rsidRPr="00331C30" w:rsidRDefault="007E1F40" w:rsidP="007E1F40">
      <w:pPr>
        <w:spacing w:before="240" w:after="360" w:line="276" w:lineRule="auto"/>
        <w:jc w:val="both"/>
        <w:rPr>
          <w:sz w:val="18"/>
        </w:rPr>
      </w:pPr>
      <w:r>
        <w:lastRenderedPageBreak/>
        <w:t xml:space="preserve">Il valore complessivo della spesa culturale </w:t>
      </w:r>
      <w:r w:rsidRPr="007E1F40">
        <w:rPr>
          <w:b/>
        </w:rPr>
        <w:t>diminuisce del</w:t>
      </w:r>
      <w:r>
        <w:t xml:space="preserve"> </w:t>
      </w:r>
      <w:r w:rsidRPr="000937DF">
        <w:rPr>
          <w:b/>
        </w:rPr>
        <w:t xml:space="preserve">3% </w:t>
      </w:r>
      <w:r>
        <w:t>rispetto all’anno precedente. E’ il secondo calo consecutivo dopo almeno un decennio di crescita (</w:t>
      </w:r>
      <w:r w:rsidR="003E2F09">
        <w:t xml:space="preserve">nel </w:t>
      </w:r>
      <w:r>
        <w:t xml:space="preserve">2012 </w:t>
      </w:r>
      <w:r w:rsidR="003E2F09">
        <w:t>-</w:t>
      </w:r>
      <w:r>
        <w:t xml:space="preserve">4,4%). Ancora nel 2011 – anno </w:t>
      </w:r>
      <w:r w:rsidRPr="000937DF">
        <w:rPr>
          <w:i/>
        </w:rPr>
        <w:t>record</w:t>
      </w:r>
      <w:r>
        <w:t xml:space="preserve"> con 71,5 miliardi spesi</w:t>
      </w:r>
      <w:r w:rsidR="003E2F09">
        <w:t xml:space="preserve"> – </w:t>
      </w:r>
      <w:r>
        <w:t>il dato era in crescita: +2,6% rispetto al 2010.</w:t>
      </w:r>
    </w:p>
    <w:p w:rsidR="00EC5021" w:rsidRDefault="003B4163" w:rsidP="007E1F40">
      <w:pPr>
        <w:pBdr>
          <w:top w:val="single" w:sz="4" w:space="3" w:color="auto"/>
          <w:left w:val="single" w:sz="4" w:space="4" w:color="auto"/>
          <w:bottom w:val="single" w:sz="4" w:space="3" w:color="auto"/>
          <w:right w:val="single" w:sz="4" w:space="4" w:color="auto"/>
        </w:pBdr>
        <w:shd w:val="clear" w:color="auto" w:fill="FFFFCC"/>
        <w:spacing w:before="120" w:after="0" w:line="276" w:lineRule="auto"/>
        <w:jc w:val="both"/>
      </w:pPr>
      <w:r>
        <w:t>La diminuzione della spesa degli italiani nel settore interrompe un lungo periodo nel quale</w:t>
      </w:r>
      <w:r w:rsidR="007E1F40">
        <w:t>,</w:t>
      </w:r>
      <w:r>
        <w:t xml:space="preserve"> passando </w:t>
      </w:r>
      <w:r w:rsidRPr="007E1F40">
        <w:rPr>
          <w:b/>
        </w:rPr>
        <w:t xml:space="preserve">dai 55 miliardi </w:t>
      </w:r>
      <w:r w:rsidR="007E1F40" w:rsidRPr="007E1F40">
        <w:rPr>
          <w:b/>
        </w:rPr>
        <w:t xml:space="preserve">di euro </w:t>
      </w:r>
      <w:r w:rsidRPr="007E1F40">
        <w:rPr>
          <w:b/>
        </w:rPr>
        <w:t xml:space="preserve">del 2000 </w:t>
      </w:r>
      <w:r w:rsidR="007E1F40" w:rsidRPr="007E1F40">
        <w:rPr>
          <w:b/>
        </w:rPr>
        <w:t>ai 71,5 del 2011, si era registrato un incremento del 30%</w:t>
      </w:r>
      <w:r w:rsidR="007E1F40">
        <w:t xml:space="preserve">. </w:t>
      </w:r>
      <w:r w:rsidR="009F4E77">
        <w:t>I</w:t>
      </w:r>
      <w:r w:rsidR="007E1F40">
        <w:t xml:space="preserve">l calo </w:t>
      </w:r>
      <w:r w:rsidR="009F4E77">
        <w:t xml:space="preserve">consecutivo </w:t>
      </w:r>
      <w:r w:rsidR="007E1F40">
        <w:t xml:space="preserve">degli </w:t>
      </w:r>
      <w:r w:rsidR="007E1F40" w:rsidRPr="009F4E77">
        <w:t>ultimi due anni,</w:t>
      </w:r>
      <w:r w:rsidR="007E1F40" w:rsidRPr="007E1F40">
        <w:rPr>
          <w:b/>
        </w:rPr>
        <w:t xml:space="preserve"> 2012 e 2013</w:t>
      </w:r>
      <w:r w:rsidR="007E1F40" w:rsidRPr="009F4E77">
        <w:t xml:space="preserve">, </w:t>
      </w:r>
      <w:r w:rsidR="009F4E77" w:rsidRPr="009F4E77">
        <w:t>comporta per</w:t>
      </w:r>
      <w:r w:rsidR="009F4E77">
        <w:rPr>
          <w:b/>
        </w:rPr>
        <w:t xml:space="preserve"> </w:t>
      </w:r>
      <w:r w:rsidR="007E1F40" w:rsidRPr="007E1F40">
        <w:rPr>
          <w:b/>
        </w:rPr>
        <w:t xml:space="preserve">la spesa culturale delle famiglie italiane </w:t>
      </w:r>
      <w:r w:rsidR="009F4E77">
        <w:rPr>
          <w:b/>
        </w:rPr>
        <w:t>un crollo</w:t>
      </w:r>
      <w:r w:rsidR="007E1F40" w:rsidRPr="007E1F40">
        <w:rPr>
          <w:b/>
        </w:rPr>
        <w:t xml:space="preserve"> del 7%</w:t>
      </w:r>
      <w:r w:rsidR="007E1F40">
        <w:rPr>
          <w:b/>
        </w:rPr>
        <w:t>.</w:t>
      </w:r>
    </w:p>
    <w:p w:rsidR="000937DF" w:rsidRDefault="005D04FA" w:rsidP="007E084B">
      <w:pPr>
        <w:spacing w:before="360" w:after="0" w:line="276" w:lineRule="auto"/>
        <w:jc w:val="both"/>
      </w:pPr>
      <w:r w:rsidRPr="005D04FA">
        <w:t>Alla contrazione della spesa corrisponde un calo della f</w:t>
      </w:r>
      <w:r w:rsidR="000937DF" w:rsidRPr="005D04FA">
        <w:t>ruizione culturale:</w:t>
      </w:r>
      <w:r w:rsidR="000937DF">
        <w:t xml:space="preserve"> nel </w:t>
      </w:r>
      <w:r w:rsidR="000937DF" w:rsidRPr="005D04FA">
        <w:rPr>
          <w:b/>
        </w:rPr>
        <w:t>2013</w:t>
      </w:r>
      <w:r w:rsidR="000937DF">
        <w:t xml:space="preserve">, ad esclusione dei concerti di musica classica per i quali si registra un incremento del 16,7%, tutti i settori vedono la </w:t>
      </w:r>
      <w:r w:rsidR="000937DF" w:rsidRPr="000937DF">
        <w:rPr>
          <w:b/>
        </w:rPr>
        <w:t>partecipazione in discesa</w:t>
      </w:r>
      <w:r w:rsidR="000937DF">
        <w:t xml:space="preserve">, con un picco per il </w:t>
      </w:r>
      <w:r w:rsidR="000937DF" w:rsidRPr="000937DF">
        <w:rPr>
          <w:b/>
        </w:rPr>
        <w:t>teatro</w:t>
      </w:r>
      <w:r w:rsidR="000937DF">
        <w:t xml:space="preserve"> che registra ben </w:t>
      </w:r>
      <w:r w:rsidR="000937DF" w:rsidRPr="000937DF">
        <w:rPr>
          <w:b/>
        </w:rPr>
        <w:t>8 punti percentuali in meno</w:t>
      </w:r>
      <w:r w:rsidR="000937DF">
        <w:t xml:space="preserve"> rispetto al 2012. Seguono le visite a </w:t>
      </w:r>
      <w:r w:rsidR="000937DF" w:rsidRPr="000937DF">
        <w:rPr>
          <w:b/>
        </w:rPr>
        <w:t>musei e mostre</w:t>
      </w:r>
      <w:r w:rsidR="000937DF">
        <w:t xml:space="preserve"> con una </w:t>
      </w:r>
      <w:r w:rsidR="000937DF" w:rsidRPr="000937DF">
        <w:rPr>
          <w:b/>
        </w:rPr>
        <w:t>variazione negativa del 7,5%.</w:t>
      </w:r>
      <w:r w:rsidR="000937DF">
        <w:t xml:space="preserve"> Nemmeno il </w:t>
      </w:r>
      <w:r w:rsidR="000937DF" w:rsidRPr="000937DF">
        <w:rPr>
          <w:b/>
        </w:rPr>
        <w:t>cinema</w:t>
      </w:r>
      <w:r w:rsidR="000937DF">
        <w:t xml:space="preserve">, con </w:t>
      </w:r>
      <w:r w:rsidR="000937DF" w:rsidRPr="000937DF">
        <w:rPr>
          <w:b/>
        </w:rPr>
        <w:t xml:space="preserve">-5,6%, </w:t>
      </w:r>
      <w:r w:rsidR="000937DF">
        <w:t xml:space="preserve">riesce a risollevare un bilancio tanto negativo. La medesima sindrome sembra colpire anche la voglia di leggere degli italiani: le persone oltre i 6 anni che nel 2013 si sono dedicate alla </w:t>
      </w:r>
      <w:r w:rsidR="000937DF" w:rsidRPr="000937DF">
        <w:rPr>
          <w:b/>
        </w:rPr>
        <w:t>lettura di almeno un libro</w:t>
      </w:r>
      <w:r w:rsidR="000937DF">
        <w:t xml:space="preserve"> sono </w:t>
      </w:r>
      <w:r w:rsidR="000937DF" w:rsidRPr="000937DF">
        <w:rPr>
          <w:b/>
        </w:rPr>
        <w:t>diminuite del 6</w:t>
      </w:r>
      <w:r w:rsidR="003E2F09">
        <w:rPr>
          <w:b/>
        </w:rPr>
        <w:t>,5</w:t>
      </w:r>
      <w:r w:rsidR="000937DF" w:rsidRPr="000937DF">
        <w:rPr>
          <w:b/>
        </w:rPr>
        <w:t>%</w:t>
      </w:r>
      <w:r w:rsidR="000937DF">
        <w:t xml:space="preserve"> rispetto al 2012. </w:t>
      </w:r>
    </w:p>
    <w:p w:rsidR="005D04FA" w:rsidRPr="005D04FA" w:rsidRDefault="005D04FA" w:rsidP="005D04FA">
      <w:pPr>
        <w:spacing w:before="240" w:after="0" w:line="276" w:lineRule="auto"/>
        <w:ind w:left="68"/>
        <w:jc w:val="center"/>
        <w:rPr>
          <w:sz w:val="20"/>
          <w:szCs w:val="20"/>
        </w:rPr>
      </w:pPr>
      <w:r w:rsidRPr="005D04FA">
        <w:rPr>
          <w:b/>
          <w:sz w:val="20"/>
          <w:szCs w:val="20"/>
        </w:rPr>
        <w:t>Fruizione di intrattenimenti culturali e ricreativi in Italia</w:t>
      </w:r>
      <w:r w:rsidRPr="005D04FA">
        <w:rPr>
          <w:sz w:val="20"/>
          <w:szCs w:val="20"/>
        </w:rPr>
        <w:t xml:space="preserve"> - Var. 2013/2012</w:t>
      </w:r>
    </w:p>
    <w:p w:rsidR="005D04FA" w:rsidRDefault="005D04FA" w:rsidP="005D04FA">
      <w:pPr>
        <w:spacing w:after="0" w:line="276" w:lineRule="auto"/>
        <w:ind w:left="68"/>
        <w:jc w:val="both"/>
      </w:pPr>
      <w:r>
        <w:rPr>
          <w:noProof/>
          <w:lang w:eastAsia="it-IT"/>
        </w:rPr>
        <w:drawing>
          <wp:inline distT="0" distB="0" distL="0" distR="0" wp14:anchorId="7BAE6FA2" wp14:editId="397C4DBA">
            <wp:extent cx="6120130" cy="1977390"/>
            <wp:effectExtent l="0" t="0" r="13970" b="3810"/>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D04FA" w:rsidRPr="005D04FA" w:rsidRDefault="005D04FA" w:rsidP="005D04FA">
      <w:pPr>
        <w:spacing w:after="0" w:line="276" w:lineRule="auto"/>
        <w:rPr>
          <w:sz w:val="18"/>
          <w:szCs w:val="18"/>
        </w:rPr>
      </w:pPr>
      <w:r w:rsidRPr="005D04FA">
        <w:rPr>
          <w:sz w:val="18"/>
          <w:szCs w:val="18"/>
        </w:rPr>
        <w:t>Fonte: elaborazioni Federculture su dati ISTAT</w:t>
      </w:r>
    </w:p>
    <w:p w:rsidR="005D04FA" w:rsidRPr="005D04FA" w:rsidRDefault="005D04FA" w:rsidP="005D04FA">
      <w:pPr>
        <w:spacing w:after="0" w:line="240" w:lineRule="auto"/>
        <w:jc w:val="both"/>
        <w:rPr>
          <w:rFonts w:eastAsia="Times New Roman" w:cs="Arial"/>
          <w:color w:val="000000"/>
          <w:sz w:val="16"/>
          <w:szCs w:val="16"/>
          <w:lang w:eastAsia="it-IT"/>
        </w:rPr>
      </w:pPr>
      <w:r w:rsidRPr="005D04FA">
        <w:rPr>
          <w:rFonts w:eastAsia="Times New Roman" w:cs="Arial"/>
          <w:color w:val="000000"/>
          <w:sz w:val="16"/>
          <w:szCs w:val="16"/>
          <w:lang w:eastAsia="it-IT"/>
        </w:rPr>
        <w:t>Indagini Multiscopo, persone di 6 anni e più per fruizione di vari tipi di spettacolo e/o intrattenimento fuori casa almeno una volta l'anno</w:t>
      </w:r>
    </w:p>
    <w:p w:rsidR="00CF5C5D" w:rsidRDefault="00CF5C5D" w:rsidP="00E820A4">
      <w:pPr>
        <w:pBdr>
          <w:top w:val="single" w:sz="4" w:space="1" w:color="auto"/>
          <w:left w:val="single" w:sz="4" w:space="4" w:color="auto"/>
          <w:bottom w:val="single" w:sz="4" w:space="1" w:color="auto"/>
          <w:right w:val="single" w:sz="4" w:space="4" w:color="auto"/>
        </w:pBdr>
        <w:shd w:val="clear" w:color="auto" w:fill="FFFFCC"/>
        <w:spacing w:before="480" w:after="240" w:line="276" w:lineRule="auto"/>
        <w:jc w:val="both"/>
      </w:pPr>
      <w:r>
        <w:t xml:space="preserve">Come per la spesa delle famiglie anche nella fruizione </w:t>
      </w:r>
      <w:r w:rsidR="00E820A4">
        <w:t xml:space="preserve">culturale </w:t>
      </w:r>
      <w:r>
        <w:t xml:space="preserve">si assiste ad un’inversione di tendenza rispetto ad un decennio di crescita. </w:t>
      </w:r>
      <w:r w:rsidRPr="00E820A4">
        <w:rPr>
          <w:b/>
        </w:rPr>
        <w:t>Tra il 2002 e il 2011</w:t>
      </w:r>
      <w:r>
        <w:t xml:space="preserve"> </w:t>
      </w:r>
      <w:r w:rsidR="00E820A4">
        <w:t xml:space="preserve">in tutti </w:t>
      </w:r>
      <w:r>
        <w:t>i sett</w:t>
      </w:r>
      <w:r w:rsidR="00E820A4">
        <w:t xml:space="preserve">ori si registravano valori in crescita, ad esempio </w:t>
      </w:r>
      <w:r w:rsidR="00E820A4" w:rsidRPr="00E820A4">
        <w:rPr>
          <w:b/>
        </w:rPr>
        <w:t>+17%</w:t>
      </w:r>
      <w:r w:rsidR="00E820A4">
        <w:t xml:space="preserve"> per il </w:t>
      </w:r>
      <w:r w:rsidR="00E820A4" w:rsidRPr="00E820A4">
        <w:rPr>
          <w:b/>
        </w:rPr>
        <w:t>teatro</w:t>
      </w:r>
      <w:r w:rsidR="00E820A4">
        <w:t xml:space="preserve">, </w:t>
      </w:r>
      <w:r w:rsidR="00E820A4" w:rsidRPr="00E820A4">
        <w:rPr>
          <w:b/>
        </w:rPr>
        <w:t>+7,2%</w:t>
      </w:r>
      <w:r w:rsidR="00E820A4">
        <w:t xml:space="preserve"> per i </w:t>
      </w:r>
      <w:r w:rsidR="00E820A4" w:rsidRPr="00E820A4">
        <w:rPr>
          <w:b/>
        </w:rPr>
        <w:t>concerti</w:t>
      </w:r>
      <w:r w:rsidR="00E820A4">
        <w:t xml:space="preserve">, </w:t>
      </w:r>
      <w:r w:rsidR="00E820A4" w:rsidRPr="00E820A4">
        <w:rPr>
          <w:b/>
        </w:rPr>
        <w:t>+5,7%</w:t>
      </w:r>
      <w:r w:rsidR="00E820A4">
        <w:t xml:space="preserve"> per le </w:t>
      </w:r>
      <w:r w:rsidR="00E820A4" w:rsidRPr="00E820A4">
        <w:rPr>
          <w:b/>
        </w:rPr>
        <w:t>mostre</w:t>
      </w:r>
      <w:r w:rsidR="00E820A4">
        <w:t xml:space="preserve">, che nell’ultimo biennio </w:t>
      </w:r>
      <w:r w:rsidR="00E820A4" w:rsidRPr="00E820A4">
        <w:rPr>
          <w:b/>
        </w:rPr>
        <w:t>2012-2013</w:t>
      </w:r>
      <w:r w:rsidR="00E820A4">
        <w:t xml:space="preserve"> si trasformano in un vistoso crollo: </w:t>
      </w:r>
      <w:r w:rsidR="00E820A4" w:rsidRPr="00E820A4">
        <w:rPr>
          <w:b/>
        </w:rPr>
        <w:t>teatro -15,5%, mostre -12,8%, concerti -14,4%.</w:t>
      </w:r>
    </w:p>
    <w:p w:rsidR="003E2F09" w:rsidRDefault="003E2F09" w:rsidP="00E820A4">
      <w:pPr>
        <w:spacing w:after="0" w:line="276" w:lineRule="auto"/>
        <w:jc w:val="center"/>
        <w:rPr>
          <w:sz w:val="18"/>
          <w:szCs w:val="18"/>
        </w:rPr>
      </w:pPr>
    </w:p>
    <w:tbl>
      <w:tblPr>
        <w:tblW w:w="6232" w:type="dxa"/>
        <w:jc w:val="center"/>
        <w:tblCellMar>
          <w:left w:w="70" w:type="dxa"/>
          <w:right w:w="70" w:type="dxa"/>
        </w:tblCellMar>
        <w:tblLook w:val="04A0" w:firstRow="1" w:lastRow="0" w:firstColumn="1" w:lastColumn="0" w:noHBand="0" w:noVBand="1"/>
      </w:tblPr>
      <w:tblGrid>
        <w:gridCol w:w="2720"/>
        <w:gridCol w:w="1528"/>
        <w:gridCol w:w="1984"/>
      </w:tblGrid>
      <w:tr w:rsidR="003E2F09" w:rsidRPr="00CF5C5D" w:rsidTr="0088274E">
        <w:trPr>
          <w:trHeight w:val="325"/>
          <w:jc w:val="center"/>
        </w:trPr>
        <w:tc>
          <w:tcPr>
            <w:tcW w:w="6232" w:type="dxa"/>
            <w:gridSpan w:val="3"/>
            <w:tcBorders>
              <w:top w:val="single" w:sz="4" w:space="0" w:color="auto"/>
              <w:bottom w:val="single" w:sz="4" w:space="0" w:color="auto"/>
            </w:tcBorders>
            <w:shd w:val="clear" w:color="auto" w:fill="auto"/>
            <w:hideMark/>
          </w:tcPr>
          <w:p w:rsidR="003E2F09" w:rsidRPr="00CF5C5D" w:rsidRDefault="003E2F09" w:rsidP="0088274E">
            <w:pPr>
              <w:spacing w:after="0" w:line="240" w:lineRule="auto"/>
              <w:jc w:val="center"/>
              <w:rPr>
                <w:rFonts w:eastAsia="Times New Roman" w:cs="Arial"/>
                <w:b/>
                <w:bCs/>
                <w:color w:val="000000"/>
                <w:sz w:val="20"/>
                <w:szCs w:val="20"/>
                <w:lang w:eastAsia="it-IT"/>
              </w:rPr>
            </w:pPr>
            <w:r w:rsidRPr="00CF5C5D">
              <w:rPr>
                <w:rFonts w:eastAsia="Times New Roman" w:cs="Arial"/>
                <w:b/>
                <w:bCs/>
                <w:color w:val="000000"/>
                <w:sz w:val="20"/>
                <w:szCs w:val="20"/>
                <w:lang w:eastAsia="it-IT"/>
              </w:rPr>
              <w:t>Fruizione di intrattenimenti culturali e ricreativi in Italia</w:t>
            </w:r>
          </w:p>
        </w:tc>
      </w:tr>
      <w:tr w:rsidR="003E2F09" w:rsidRPr="00CF5C5D" w:rsidTr="0088274E">
        <w:trPr>
          <w:trHeight w:val="288"/>
          <w:jc w:val="center"/>
        </w:trPr>
        <w:tc>
          <w:tcPr>
            <w:tcW w:w="2720" w:type="dxa"/>
            <w:tcBorders>
              <w:top w:val="single" w:sz="4" w:space="0" w:color="auto"/>
              <w:bottom w:val="single" w:sz="4" w:space="0" w:color="auto"/>
            </w:tcBorders>
            <w:shd w:val="clear" w:color="auto" w:fill="auto"/>
            <w:vAlign w:val="center"/>
            <w:hideMark/>
          </w:tcPr>
          <w:p w:rsidR="003E2F09" w:rsidRPr="00CF5C5D" w:rsidRDefault="003E2F09" w:rsidP="0088274E">
            <w:pPr>
              <w:spacing w:after="0" w:line="240" w:lineRule="auto"/>
              <w:jc w:val="center"/>
              <w:rPr>
                <w:rFonts w:eastAsia="Times New Roman" w:cs="Arial"/>
                <w:b/>
                <w:bCs/>
                <w:color w:val="000000"/>
                <w:sz w:val="20"/>
                <w:szCs w:val="20"/>
                <w:lang w:eastAsia="it-IT"/>
              </w:rPr>
            </w:pPr>
          </w:p>
        </w:tc>
        <w:tc>
          <w:tcPr>
            <w:tcW w:w="1528" w:type="dxa"/>
            <w:tcBorders>
              <w:top w:val="single" w:sz="4" w:space="0" w:color="auto"/>
              <w:bottom w:val="single" w:sz="4" w:space="0" w:color="auto"/>
            </w:tcBorders>
            <w:shd w:val="clear" w:color="auto" w:fill="auto"/>
            <w:vAlign w:val="center"/>
            <w:hideMark/>
          </w:tcPr>
          <w:p w:rsidR="003E2F09" w:rsidRPr="00CF5C5D" w:rsidRDefault="003E2F09" w:rsidP="0088274E">
            <w:pPr>
              <w:spacing w:after="0" w:line="240" w:lineRule="auto"/>
              <w:jc w:val="center"/>
              <w:rPr>
                <w:rFonts w:eastAsia="Times New Roman" w:cs="Arial"/>
                <w:b/>
                <w:bCs/>
                <w:color w:val="000000"/>
                <w:sz w:val="20"/>
                <w:szCs w:val="20"/>
                <w:lang w:eastAsia="it-IT"/>
              </w:rPr>
            </w:pPr>
            <w:r w:rsidRPr="00CF5C5D">
              <w:rPr>
                <w:rFonts w:eastAsia="Times New Roman" w:cs="Arial"/>
                <w:b/>
                <w:bCs/>
                <w:color w:val="000000"/>
                <w:sz w:val="20"/>
                <w:szCs w:val="20"/>
                <w:lang w:eastAsia="it-IT"/>
              </w:rPr>
              <w:t>Var. 2002/2011</w:t>
            </w:r>
          </w:p>
        </w:tc>
        <w:tc>
          <w:tcPr>
            <w:tcW w:w="1984" w:type="dxa"/>
            <w:tcBorders>
              <w:top w:val="single" w:sz="4" w:space="0" w:color="auto"/>
              <w:bottom w:val="single" w:sz="4" w:space="0" w:color="auto"/>
            </w:tcBorders>
            <w:shd w:val="clear" w:color="auto" w:fill="auto"/>
            <w:vAlign w:val="center"/>
            <w:hideMark/>
          </w:tcPr>
          <w:p w:rsidR="003E2F09" w:rsidRPr="00CF5C5D" w:rsidRDefault="003E2F09" w:rsidP="0088274E">
            <w:pPr>
              <w:spacing w:after="0" w:line="240" w:lineRule="auto"/>
              <w:jc w:val="center"/>
              <w:rPr>
                <w:rFonts w:eastAsia="Times New Roman" w:cs="Arial"/>
                <w:b/>
                <w:bCs/>
                <w:color w:val="000000"/>
                <w:sz w:val="20"/>
                <w:szCs w:val="20"/>
                <w:lang w:eastAsia="it-IT"/>
              </w:rPr>
            </w:pPr>
            <w:r w:rsidRPr="00CF5C5D">
              <w:rPr>
                <w:rFonts w:eastAsia="Times New Roman" w:cs="Arial"/>
                <w:b/>
                <w:bCs/>
                <w:color w:val="000000"/>
                <w:sz w:val="20"/>
                <w:szCs w:val="20"/>
                <w:lang w:eastAsia="it-IT"/>
              </w:rPr>
              <w:t>Var. 2013/2011</w:t>
            </w:r>
          </w:p>
        </w:tc>
      </w:tr>
      <w:tr w:rsidR="003E2F09" w:rsidRPr="00CF5C5D" w:rsidTr="0088274E">
        <w:trPr>
          <w:trHeight w:val="290"/>
          <w:jc w:val="center"/>
        </w:trPr>
        <w:tc>
          <w:tcPr>
            <w:tcW w:w="2720" w:type="dxa"/>
            <w:tcBorders>
              <w:top w:val="single" w:sz="4" w:space="0" w:color="auto"/>
            </w:tcBorders>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Teatro  </w:t>
            </w:r>
          </w:p>
        </w:tc>
        <w:tc>
          <w:tcPr>
            <w:tcW w:w="1528" w:type="dxa"/>
            <w:tcBorders>
              <w:top w:val="single" w:sz="4" w:space="0" w:color="auto"/>
            </w:tcBorders>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17,1%</w:t>
            </w:r>
          </w:p>
        </w:tc>
        <w:tc>
          <w:tcPr>
            <w:tcW w:w="1984" w:type="dxa"/>
            <w:tcBorders>
              <w:top w:val="single" w:sz="4" w:space="0" w:color="auto"/>
            </w:tcBorders>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-15,5%</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Cinema  </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7,4%</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-12,5%</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Musei, Mostre  </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5,7%</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-12,8%</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Concerti di musica classica  </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12,2%</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-9,9%</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Pr>
                <w:rFonts w:eastAsia="Times New Roman" w:cs="Arial"/>
                <w:i/>
                <w:iCs/>
                <w:color w:val="000000"/>
                <w:sz w:val="20"/>
                <w:szCs w:val="20"/>
                <w:lang w:eastAsia="it-IT"/>
              </w:rPr>
              <w:t>Altri concerti di musica</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7,2%</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-14,4%</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Spettacoli sportivi  </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4,0%</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-14,1%</w:t>
            </w:r>
          </w:p>
        </w:tc>
      </w:tr>
      <w:tr w:rsidR="003E2F09" w:rsidRPr="00CF5C5D" w:rsidTr="0088274E">
        <w:trPr>
          <w:trHeight w:val="290"/>
          <w:jc w:val="center"/>
        </w:trPr>
        <w:tc>
          <w:tcPr>
            <w:tcW w:w="2720" w:type="dxa"/>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Discoteche, balere, ecc.  </w:t>
            </w:r>
          </w:p>
        </w:tc>
        <w:tc>
          <w:tcPr>
            <w:tcW w:w="1528" w:type="dxa"/>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-10,3%</w:t>
            </w:r>
          </w:p>
        </w:tc>
        <w:tc>
          <w:tcPr>
            <w:tcW w:w="1984" w:type="dxa"/>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-13,3%</w:t>
            </w:r>
          </w:p>
        </w:tc>
      </w:tr>
      <w:tr w:rsidR="003E2F09" w:rsidRPr="00CF5C5D" w:rsidTr="0088274E">
        <w:trPr>
          <w:trHeight w:val="290"/>
          <w:jc w:val="center"/>
        </w:trPr>
        <w:tc>
          <w:tcPr>
            <w:tcW w:w="2720" w:type="dxa"/>
            <w:tcBorders>
              <w:bottom w:val="single" w:sz="4" w:space="0" w:color="auto"/>
            </w:tcBorders>
            <w:shd w:val="clear" w:color="auto" w:fill="auto"/>
            <w:vAlign w:val="center"/>
            <w:hideMark/>
          </w:tcPr>
          <w:p w:rsidR="003E2F09" w:rsidRPr="00CF5C5D" w:rsidRDefault="003E2F09" w:rsidP="0088274E">
            <w:pPr>
              <w:spacing w:after="0" w:line="240" w:lineRule="auto"/>
              <w:rPr>
                <w:rFonts w:eastAsia="Times New Roman" w:cs="Arial"/>
                <w:i/>
                <w:iCs/>
                <w:color w:val="000000"/>
                <w:sz w:val="20"/>
                <w:szCs w:val="20"/>
                <w:lang w:eastAsia="it-IT"/>
              </w:rPr>
            </w:pPr>
            <w:r w:rsidRPr="00CF5C5D">
              <w:rPr>
                <w:rFonts w:eastAsia="Times New Roman" w:cs="Arial"/>
                <w:i/>
                <w:iCs/>
                <w:color w:val="000000"/>
                <w:sz w:val="20"/>
                <w:szCs w:val="20"/>
                <w:lang w:eastAsia="it-IT"/>
              </w:rPr>
              <w:t xml:space="preserve">Siti archeologici e monumenti  </w:t>
            </w:r>
          </w:p>
        </w:tc>
        <w:tc>
          <w:tcPr>
            <w:tcW w:w="1528" w:type="dxa"/>
            <w:tcBorders>
              <w:bottom w:val="single" w:sz="4" w:space="0" w:color="auto"/>
            </w:tcBorders>
            <w:shd w:val="clear" w:color="auto" w:fill="auto"/>
            <w:noWrap/>
            <w:vAlign w:val="bottom"/>
            <w:hideMark/>
          </w:tcPr>
          <w:p w:rsidR="003E2F09" w:rsidRPr="00CF5C5D" w:rsidRDefault="003E2F09" w:rsidP="0088274E">
            <w:pPr>
              <w:spacing w:after="0" w:line="240" w:lineRule="auto"/>
              <w:jc w:val="right"/>
              <w:rPr>
                <w:rFonts w:eastAsia="Times New Roman" w:cs="Arial"/>
                <w:color w:val="000000"/>
                <w:sz w:val="20"/>
                <w:szCs w:val="20"/>
                <w:lang w:eastAsia="it-IT"/>
              </w:rPr>
            </w:pPr>
            <w:r w:rsidRPr="00CF5C5D">
              <w:rPr>
                <w:rFonts w:eastAsia="Times New Roman" w:cs="Arial"/>
                <w:color w:val="000000"/>
                <w:sz w:val="20"/>
                <w:szCs w:val="20"/>
                <w:lang w:eastAsia="it-IT"/>
              </w:rPr>
              <w:t>7,0%</w:t>
            </w:r>
          </w:p>
        </w:tc>
        <w:tc>
          <w:tcPr>
            <w:tcW w:w="1984" w:type="dxa"/>
            <w:tcBorders>
              <w:bottom w:val="single" w:sz="4" w:space="0" w:color="auto"/>
            </w:tcBorders>
            <w:shd w:val="clear" w:color="auto" w:fill="auto"/>
            <w:noWrap/>
            <w:vAlign w:val="bottom"/>
            <w:hideMark/>
          </w:tcPr>
          <w:p w:rsidR="003E2F09" w:rsidRPr="00CF5C5D" w:rsidRDefault="003E2F09" w:rsidP="0088274E">
            <w:pPr>
              <w:spacing w:after="0" w:line="240" w:lineRule="auto"/>
              <w:jc w:val="right"/>
              <w:rPr>
                <w:rFonts w:eastAsia="Times New Roman" w:cs="Arial"/>
                <w:color w:val="FF0000"/>
                <w:sz w:val="20"/>
                <w:szCs w:val="20"/>
                <w:lang w:eastAsia="it-IT"/>
              </w:rPr>
            </w:pPr>
            <w:r w:rsidRPr="00CF5C5D">
              <w:rPr>
                <w:rFonts w:eastAsia="Times New Roman" w:cs="Arial"/>
                <w:color w:val="FF0000"/>
                <w:sz w:val="20"/>
                <w:szCs w:val="20"/>
                <w:lang w:eastAsia="it-IT"/>
              </w:rPr>
              <w:t>-9,6%</w:t>
            </w:r>
          </w:p>
        </w:tc>
      </w:tr>
    </w:tbl>
    <w:p w:rsidR="00CF5C5D" w:rsidRPr="005D04FA" w:rsidRDefault="00CF5C5D" w:rsidP="00E820A4">
      <w:pPr>
        <w:spacing w:after="0" w:line="276" w:lineRule="auto"/>
        <w:jc w:val="center"/>
        <w:rPr>
          <w:sz w:val="18"/>
          <w:szCs w:val="18"/>
        </w:rPr>
      </w:pPr>
      <w:r w:rsidRPr="005D04FA">
        <w:rPr>
          <w:sz w:val="18"/>
          <w:szCs w:val="18"/>
        </w:rPr>
        <w:t>Fonte: elaborazioni Federculture su dati ISTAT</w:t>
      </w:r>
    </w:p>
    <w:p w:rsidR="00E820A4" w:rsidRDefault="000937DF" w:rsidP="007E084B">
      <w:pPr>
        <w:spacing w:before="480" w:after="240" w:line="276" w:lineRule="auto"/>
        <w:jc w:val="both"/>
      </w:pPr>
      <w:r>
        <w:lastRenderedPageBreak/>
        <w:t xml:space="preserve">Il </w:t>
      </w:r>
      <w:r w:rsidRPr="000937DF">
        <w:rPr>
          <w:b/>
        </w:rPr>
        <w:t>confronto a livello europeo</w:t>
      </w:r>
      <w:r>
        <w:t xml:space="preserve"> ci vede in posizioni di retroguardia in tutti gli ambiti della partecipazione culturale. Rispetto, ad esempio, alla </w:t>
      </w:r>
      <w:r w:rsidRPr="00291392">
        <w:rPr>
          <w:b/>
        </w:rPr>
        <w:t>frequentazione dei musei, vi si reca almeno una volta l'anno il 30% degli italiani contro il 52% degli inglesi, il 44% dei tedeschi e il 39% dei francesi</w:t>
      </w:r>
      <w:r>
        <w:t>. Ma siamo al di sotto delle medie Ue anche per quanto riguarda la fruizione di teatro, concerti, cinema.</w:t>
      </w:r>
    </w:p>
    <w:p w:rsidR="00E820A4" w:rsidRDefault="00E820A4">
      <w:r>
        <w:br w:type="page"/>
      </w:r>
    </w:p>
    <w:tbl>
      <w:tblPr>
        <w:tblW w:w="5000" w:type="pct"/>
        <w:tblLayout w:type="fixed"/>
        <w:tblCellMar>
          <w:left w:w="70" w:type="dxa"/>
          <w:right w:w="70" w:type="dxa"/>
        </w:tblCellMar>
        <w:tblLook w:val="04A0" w:firstRow="1" w:lastRow="0" w:firstColumn="1" w:lastColumn="0" w:noHBand="0" w:noVBand="1"/>
      </w:tblPr>
      <w:tblGrid>
        <w:gridCol w:w="3659"/>
        <w:gridCol w:w="1028"/>
        <w:gridCol w:w="1028"/>
        <w:gridCol w:w="1145"/>
        <w:gridCol w:w="580"/>
        <w:gridCol w:w="1012"/>
        <w:gridCol w:w="713"/>
        <w:gridCol w:w="793"/>
      </w:tblGrid>
      <w:tr w:rsidR="000937DF" w:rsidRPr="006E043F" w:rsidTr="007E084B">
        <w:trPr>
          <w:trHeight w:val="600"/>
        </w:trPr>
        <w:tc>
          <w:tcPr>
            <w:tcW w:w="1837" w:type="pct"/>
            <w:tcBorders>
              <w:top w:val="single" w:sz="8" w:space="0" w:color="auto"/>
              <w:left w:val="single" w:sz="8" w:space="0" w:color="auto"/>
              <w:bottom w:val="single" w:sz="4" w:space="0" w:color="auto"/>
              <w:right w:val="nil"/>
            </w:tcBorders>
            <w:shd w:val="clear" w:color="000000" w:fill="FFFFFF"/>
            <w:noWrap/>
            <w:vAlign w:val="bottom"/>
            <w:hideMark/>
          </w:tcPr>
          <w:p w:rsidR="000937DF" w:rsidRPr="006E043F" w:rsidRDefault="000937DF" w:rsidP="007E084B">
            <w:pPr>
              <w:spacing w:after="0" w:line="240" w:lineRule="auto"/>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lastRenderedPageBreak/>
              <w:t> </w:t>
            </w:r>
            <w:r w:rsidR="007E084B" w:rsidRPr="006E043F">
              <w:rPr>
                <w:rFonts w:ascii="Calibri" w:eastAsia="Times New Roman" w:hAnsi="Calibri" w:cs="Times New Roman"/>
                <w:b/>
                <w:bCs/>
                <w:color w:val="000000"/>
                <w:lang w:eastAsia="it-IT"/>
              </w:rPr>
              <w:t>Almeno una volta negli ultimi 12 mesi hai</w:t>
            </w:r>
            <w:r w:rsidR="007E084B">
              <w:rPr>
                <w:rFonts w:ascii="Calibri" w:eastAsia="Times New Roman" w:hAnsi="Calibri" w:cs="Times New Roman"/>
                <w:b/>
                <w:bCs/>
                <w:color w:val="000000"/>
                <w:lang w:eastAsia="it-IT"/>
              </w:rPr>
              <w:t xml:space="preserve"> / sei</w:t>
            </w:r>
            <w:r w:rsidR="007E084B" w:rsidRPr="006E043F">
              <w:rPr>
                <w:rFonts w:ascii="Calibri" w:eastAsia="Times New Roman" w:hAnsi="Calibri" w:cs="Times New Roman"/>
                <w:b/>
                <w:bCs/>
                <w:color w:val="000000"/>
                <w:lang w:eastAsia="it-IT"/>
              </w:rPr>
              <w:t>…</w:t>
            </w:r>
          </w:p>
        </w:tc>
        <w:tc>
          <w:tcPr>
            <w:tcW w:w="516"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ITALIA</w:t>
            </w:r>
          </w:p>
        </w:tc>
        <w:tc>
          <w:tcPr>
            <w:tcW w:w="516"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REGNO UNITO</w:t>
            </w:r>
          </w:p>
        </w:tc>
        <w:tc>
          <w:tcPr>
            <w:tcW w:w="575"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FRANCIA</w:t>
            </w:r>
          </w:p>
        </w:tc>
        <w:tc>
          <w:tcPr>
            <w:tcW w:w="291"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PAESI BASSI</w:t>
            </w:r>
          </w:p>
        </w:tc>
        <w:tc>
          <w:tcPr>
            <w:tcW w:w="508"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GERMANIA</w:t>
            </w:r>
          </w:p>
        </w:tc>
        <w:tc>
          <w:tcPr>
            <w:tcW w:w="358" w:type="pct"/>
            <w:tcBorders>
              <w:top w:val="single" w:sz="8" w:space="0" w:color="auto"/>
              <w:left w:val="nil"/>
              <w:bottom w:val="single" w:sz="4" w:space="0" w:color="auto"/>
              <w:right w:val="nil"/>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BELGIO</w:t>
            </w:r>
          </w:p>
        </w:tc>
        <w:tc>
          <w:tcPr>
            <w:tcW w:w="398" w:type="pct"/>
            <w:tcBorders>
              <w:top w:val="single" w:sz="8" w:space="0" w:color="auto"/>
              <w:left w:val="nil"/>
              <w:bottom w:val="single" w:sz="4" w:space="0" w:color="auto"/>
              <w:right w:val="single" w:sz="8" w:space="0" w:color="auto"/>
            </w:tcBorders>
            <w:shd w:val="clear" w:color="000000" w:fill="FFFFFF"/>
            <w:vAlign w:val="center"/>
            <w:hideMark/>
          </w:tcPr>
          <w:p w:rsidR="000937DF" w:rsidRPr="006E043F" w:rsidRDefault="000937DF" w:rsidP="003C29B7">
            <w:pPr>
              <w:spacing w:after="0" w:line="240" w:lineRule="auto"/>
              <w:jc w:val="center"/>
              <w:rPr>
                <w:rFonts w:ascii="Calibri" w:eastAsia="Times New Roman" w:hAnsi="Calibri" w:cs="Times New Roman"/>
                <w:color w:val="000000"/>
                <w:sz w:val="18"/>
                <w:szCs w:val="18"/>
                <w:lang w:eastAsia="it-IT"/>
              </w:rPr>
            </w:pPr>
            <w:r w:rsidRPr="006E043F">
              <w:rPr>
                <w:rFonts w:ascii="Calibri" w:eastAsia="Times New Roman" w:hAnsi="Calibri" w:cs="Times New Roman"/>
                <w:color w:val="000000"/>
                <w:sz w:val="18"/>
                <w:szCs w:val="18"/>
                <w:lang w:eastAsia="it-IT"/>
              </w:rPr>
              <w:t>SPAGNA</w:t>
            </w:r>
          </w:p>
        </w:tc>
      </w:tr>
      <w:tr w:rsidR="000937DF" w:rsidRPr="006E043F" w:rsidTr="007E084B">
        <w:trPr>
          <w:trHeight w:val="300"/>
        </w:trPr>
        <w:tc>
          <w:tcPr>
            <w:tcW w:w="1837" w:type="pct"/>
            <w:tcBorders>
              <w:top w:val="single" w:sz="4" w:space="0" w:color="auto"/>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Guardato o ascoltato un programma culturale in TV o radio</w:t>
            </w:r>
          </w:p>
        </w:tc>
        <w:tc>
          <w:tcPr>
            <w:tcW w:w="516"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60%</w:t>
            </w:r>
          </w:p>
        </w:tc>
        <w:tc>
          <w:tcPr>
            <w:tcW w:w="516"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77%</w:t>
            </w:r>
          </w:p>
        </w:tc>
        <w:tc>
          <w:tcPr>
            <w:tcW w:w="575"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85%</w:t>
            </w:r>
          </w:p>
        </w:tc>
        <w:tc>
          <w:tcPr>
            <w:tcW w:w="291"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84%</w:t>
            </w:r>
          </w:p>
        </w:tc>
        <w:tc>
          <w:tcPr>
            <w:tcW w:w="508"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74%</w:t>
            </w:r>
          </w:p>
        </w:tc>
        <w:tc>
          <w:tcPr>
            <w:tcW w:w="358" w:type="pct"/>
            <w:tcBorders>
              <w:top w:val="single" w:sz="4" w:space="0" w:color="auto"/>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72%</w:t>
            </w:r>
          </w:p>
        </w:tc>
        <w:tc>
          <w:tcPr>
            <w:tcW w:w="398" w:type="pct"/>
            <w:tcBorders>
              <w:top w:val="single" w:sz="4" w:space="0" w:color="auto"/>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74%</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Letto un libro</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56%</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80%</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73%</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86%</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79%</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65%</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60%</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Stato al cinema</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53%</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61%</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63%</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70%</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54%</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54%</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49%</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 xml:space="preserve">Visitato un monumento o sito storico </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41%</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65%</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54%</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71%</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63%</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51%</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48%</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Visitato un museo o galleria</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30%</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52%</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39%</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60%</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44%</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40%</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29%</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Andato ad un concerto</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26%</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37%</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33%</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51%</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45%</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36%</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31%</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AB66AE">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 xml:space="preserve">Visitato una </w:t>
            </w:r>
            <w:r w:rsidR="00AB66AE">
              <w:rPr>
                <w:rFonts w:ascii="Calibri" w:eastAsia="Times New Roman" w:hAnsi="Calibri" w:cs="Times New Roman"/>
                <w:color w:val="000000"/>
                <w:lang w:eastAsia="it-IT"/>
              </w:rPr>
              <w:t>biblioteca</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24%</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17%</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33%</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45%</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23%</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37%</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33%</w:t>
            </w:r>
          </w:p>
        </w:tc>
      </w:tr>
      <w:tr w:rsidR="000937DF" w:rsidRPr="006E043F" w:rsidTr="003C29B7">
        <w:trPr>
          <w:trHeight w:val="300"/>
        </w:trPr>
        <w:tc>
          <w:tcPr>
            <w:tcW w:w="1837" w:type="pct"/>
            <w:tcBorders>
              <w:top w:val="nil"/>
              <w:left w:val="single" w:sz="8" w:space="0" w:color="auto"/>
              <w:bottom w:val="nil"/>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Stato a teatro</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24%</w:t>
            </w:r>
          </w:p>
        </w:tc>
        <w:tc>
          <w:tcPr>
            <w:tcW w:w="516"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39%</w:t>
            </w:r>
          </w:p>
        </w:tc>
        <w:tc>
          <w:tcPr>
            <w:tcW w:w="575"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21%</w:t>
            </w:r>
          </w:p>
        </w:tc>
        <w:tc>
          <w:tcPr>
            <w:tcW w:w="291"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53%</w:t>
            </w:r>
          </w:p>
        </w:tc>
        <w:tc>
          <w:tcPr>
            <w:tcW w:w="50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30%</w:t>
            </w:r>
          </w:p>
        </w:tc>
        <w:tc>
          <w:tcPr>
            <w:tcW w:w="358" w:type="pct"/>
            <w:tcBorders>
              <w:top w:val="nil"/>
              <w:left w:val="nil"/>
              <w:bottom w:val="nil"/>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32%</w:t>
            </w:r>
          </w:p>
        </w:tc>
        <w:tc>
          <w:tcPr>
            <w:tcW w:w="398" w:type="pct"/>
            <w:tcBorders>
              <w:top w:val="nil"/>
              <w:left w:val="nil"/>
              <w:bottom w:val="nil"/>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21%</w:t>
            </w:r>
          </w:p>
        </w:tc>
      </w:tr>
      <w:tr w:rsidR="000937DF" w:rsidRPr="006E043F" w:rsidTr="003C29B7">
        <w:trPr>
          <w:trHeight w:val="315"/>
        </w:trPr>
        <w:tc>
          <w:tcPr>
            <w:tcW w:w="1837" w:type="pct"/>
            <w:tcBorders>
              <w:top w:val="nil"/>
              <w:left w:val="single" w:sz="8" w:space="0" w:color="auto"/>
              <w:bottom w:val="single" w:sz="8" w:space="0" w:color="auto"/>
              <w:right w:val="nil"/>
            </w:tcBorders>
            <w:shd w:val="clear" w:color="000000" w:fill="FFFFFF"/>
            <w:noWrap/>
            <w:vAlign w:val="bottom"/>
            <w:hideMark/>
          </w:tcPr>
          <w:p w:rsidR="000937DF" w:rsidRPr="006E043F" w:rsidRDefault="000937DF" w:rsidP="003C29B7">
            <w:pPr>
              <w:spacing w:after="0" w:line="240" w:lineRule="auto"/>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Visto un balletto, una performance di danza o un'opera</w:t>
            </w:r>
          </w:p>
        </w:tc>
        <w:tc>
          <w:tcPr>
            <w:tcW w:w="516"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17%</w:t>
            </w:r>
          </w:p>
        </w:tc>
        <w:tc>
          <w:tcPr>
            <w:tcW w:w="516"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22%</w:t>
            </w:r>
          </w:p>
        </w:tc>
        <w:tc>
          <w:tcPr>
            <w:tcW w:w="575"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25%</w:t>
            </w:r>
          </w:p>
        </w:tc>
        <w:tc>
          <w:tcPr>
            <w:tcW w:w="291"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23%</w:t>
            </w:r>
          </w:p>
        </w:tc>
        <w:tc>
          <w:tcPr>
            <w:tcW w:w="508"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19%</w:t>
            </w:r>
          </w:p>
        </w:tc>
        <w:tc>
          <w:tcPr>
            <w:tcW w:w="358" w:type="pct"/>
            <w:tcBorders>
              <w:top w:val="nil"/>
              <w:left w:val="nil"/>
              <w:bottom w:val="single" w:sz="8" w:space="0" w:color="auto"/>
              <w:right w:val="nil"/>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22%</w:t>
            </w:r>
          </w:p>
        </w:tc>
        <w:tc>
          <w:tcPr>
            <w:tcW w:w="398" w:type="pct"/>
            <w:tcBorders>
              <w:top w:val="nil"/>
              <w:left w:val="nil"/>
              <w:bottom w:val="single" w:sz="8" w:space="0" w:color="auto"/>
              <w:right w:val="single" w:sz="8" w:space="0" w:color="auto"/>
            </w:tcBorders>
            <w:shd w:val="clear" w:color="000000" w:fill="FFFFFF"/>
            <w:noWrap/>
            <w:vAlign w:val="center"/>
            <w:hideMark/>
          </w:tcPr>
          <w:p w:rsidR="000937DF" w:rsidRPr="006E043F" w:rsidRDefault="000937DF" w:rsidP="003C29B7">
            <w:pPr>
              <w:spacing w:after="0" w:line="240" w:lineRule="auto"/>
              <w:jc w:val="center"/>
              <w:rPr>
                <w:rFonts w:ascii="Calibri" w:eastAsia="Times New Roman" w:hAnsi="Calibri" w:cs="Times New Roman"/>
                <w:color w:val="000000"/>
                <w:lang w:eastAsia="it-IT"/>
              </w:rPr>
            </w:pPr>
            <w:r w:rsidRPr="006E043F">
              <w:rPr>
                <w:rFonts w:ascii="Calibri" w:eastAsia="Times New Roman" w:hAnsi="Calibri" w:cs="Times New Roman"/>
                <w:color w:val="000000"/>
                <w:lang w:eastAsia="it-IT"/>
              </w:rPr>
              <w:t>15%</w:t>
            </w:r>
          </w:p>
        </w:tc>
      </w:tr>
    </w:tbl>
    <w:p w:rsidR="00AB66AE" w:rsidRPr="005D04FA" w:rsidRDefault="00AB66AE" w:rsidP="00AB66AE">
      <w:pPr>
        <w:spacing w:after="0" w:line="276" w:lineRule="auto"/>
        <w:rPr>
          <w:sz w:val="18"/>
          <w:szCs w:val="18"/>
        </w:rPr>
      </w:pPr>
      <w:r w:rsidRPr="005D04FA">
        <w:rPr>
          <w:sz w:val="18"/>
          <w:szCs w:val="18"/>
        </w:rPr>
        <w:t xml:space="preserve">Fonte: elaborazioni Federculture su dati </w:t>
      </w:r>
      <w:r w:rsidR="007E084B">
        <w:rPr>
          <w:sz w:val="18"/>
          <w:szCs w:val="18"/>
        </w:rPr>
        <w:t>EUROBAROMETRO</w:t>
      </w:r>
    </w:p>
    <w:p w:rsidR="000937DF" w:rsidRDefault="000937DF" w:rsidP="000937DF">
      <w:pPr>
        <w:spacing w:after="0" w:line="276" w:lineRule="auto"/>
      </w:pPr>
    </w:p>
    <w:p w:rsidR="00AB66AE" w:rsidRDefault="005166A0" w:rsidP="00E820A4">
      <w:pPr>
        <w:spacing w:after="0" w:line="276" w:lineRule="auto"/>
        <w:jc w:val="both"/>
      </w:pPr>
      <w:r>
        <w:t xml:space="preserve">Altro indicatore che ci pone al di sotto dei valori medi europei è quello della </w:t>
      </w:r>
      <w:r w:rsidRPr="005166A0">
        <w:rPr>
          <w:b/>
        </w:rPr>
        <w:t>pratica culturale</w:t>
      </w:r>
      <w:r>
        <w:t xml:space="preserve"> generale. Il nostro </w:t>
      </w:r>
      <w:r w:rsidRPr="00D86195">
        <w:rPr>
          <w:b/>
        </w:rPr>
        <w:t xml:space="preserve">indice di partecipazione culturale </w:t>
      </w:r>
      <w:r w:rsidR="00C410BF" w:rsidRPr="00D86195">
        <w:rPr>
          <w:b/>
        </w:rPr>
        <w:t xml:space="preserve">alta </w:t>
      </w:r>
      <w:r w:rsidRPr="00D86195">
        <w:rPr>
          <w:b/>
        </w:rPr>
        <w:t xml:space="preserve">è </w:t>
      </w:r>
      <w:r w:rsidR="00C410BF" w:rsidRPr="00D86195">
        <w:rPr>
          <w:b/>
        </w:rPr>
        <w:t>5% mentre la media UE è 13%</w:t>
      </w:r>
      <w:r w:rsidR="00C410BF">
        <w:t xml:space="preserve">, </w:t>
      </w:r>
      <w:r w:rsidR="00D86195">
        <w:t xml:space="preserve">allo stesso tempo </w:t>
      </w:r>
      <w:r w:rsidR="00D86195" w:rsidRPr="00D86195">
        <w:rPr>
          <w:b/>
        </w:rPr>
        <w:t xml:space="preserve">l’indice di bassa </w:t>
      </w:r>
      <w:r w:rsidR="00906BD9">
        <w:rPr>
          <w:b/>
        </w:rPr>
        <w:t>pratica</w:t>
      </w:r>
      <w:r w:rsidR="00D86195" w:rsidRPr="00D86195">
        <w:rPr>
          <w:b/>
        </w:rPr>
        <w:t xml:space="preserve"> culturale degli italiani è 49% contro il 34% della media europea</w:t>
      </w:r>
      <w:r w:rsidR="00D86195">
        <w:t>.</w:t>
      </w:r>
    </w:p>
    <w:p w:rsidR="00E820A4" w:rsidRDefault="00E820A4" w:rsidP="00E820A4">
      <w:pPr>
        <w:spacing w:after="0" w:line="276" w:lineRule="auto"/>
        <w:jc w:val="both"/>
      </w:pPr>
    </w:p>
    <w:tbl>
      <w:tblPr>
        <w:tblW w:w="6177" w:type="dxa"/>
        <w:jc w:val="center"/>
        <w:tblCellMar>
          <w:left w:w="70" w:type="dxa"/>
          <w:right w:w="70" w:type="dxa"/>
        </w:tblCellMar>
        <w:tblLook w:val="04A0" w:firstRow="1" w:lastRow="0" w:firstColumn="1" w:lastColumn="0" w:noHBand="0" w:noVBand="1"/>
      </w:tblPr>
      <w:tblGrid>
        <w:gridCol w:w="3397"/>
        <w:gridCol w:w="1400"/>
        <w:gridCol w:w="1380"/>
      </w:tblGrid>
      <w:tr w:rsidR="002D54B0" w:rsidRPr="002D54B0" w:rsidTr="002D54B0">
        <w:trPr>
          <w:trHeight w:val="329"/>
          <w:jc w:val="center"/>
        </w:trPr>
        <w:tc>
          <w:tcPr>
            <w:tcW w:w="3397" w:type="dxa"/>
            <w:tcBorders>
              <w:top w:val="single" w:sz="4" w:space="0" w:color="auto"/>
              <w:left w:val="single" w:sz="4" w:space="0" w:color="auto"/>
              <w:bottom w:val="single" w:sz="4" w:space="0" w:color="auto"/>
              <w:right w:val="nil"/>
            </w:tcBorders>
            <w:shd w:val="clear" w:color="000000" w:fill="FFFFFF"/>
            <w:noWrap/>
            <w:vAlign w:val="bottom"/>
            <w:hideMark/>
          </w:tcPr>
          <w:p w:rsidR="002D54B0" w:rsidRPr="002D54B0" w:rsidRDefault="002D54B0" w:rsidP="002D54B0">
            <w:pPr>
              <w:spacing w:after="0" w:line="240" w:lineRule="auto"/>
              <w:rPr>
                <w:rFonts w:ascii="Calibri" w:eastAsia="Times New Roman" w:hAnsi="Calibri" w:cs="Times New Roman"/>
                <w:b/>
                <w:bCs/>
                <w:color w:val="000000"/>
                <w:sz w:val="20"/>
                <w:szCs w:val="20"/>
                <w:lang w:eastAsia="it-IT"/>
              </w:rPr>
            </w:pPr>
            <w:r w:rsidRPr="002D54B0">
              <w:rPr>
                <w:rFonts w:ascii="Calibri" w:eastAsia="Times New Roman" w:hAnsi="Calibri" w:cs="Times New Roman"/>
                <w:b/>
                <w:bCs/>
                <w:color w:val="000000"/>
                <w:sz w:val="20"/>
                <w:szCs w:val="20"/>
                <w:lang w:eastAsia="it-IT"/>
              </w:rPr>
              <w:t>Indice generale di pratica culturale</w:t>
            </w:r>
          </w:p>
        </w:tc>
        <w:tc>
          <w:tcPr>
            <w:tcW w:w="1400" w:type="dxa"/>
            <w:tcBorders>
              <w:top w:val="single" w:sz="4" w:space="0" w:color="auto"/>
              <w:left w:val="nil"/>
              <w:bottom w:val="single" w:sz="4" w:space="0" w:color="auto"/>
              <w:right w:val="nil"/>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b/>
                <w:bCs/>
                <w:color w:val="000000"/>
                <w:sz w:val="20"/>
                <w:szCs w:val="20"/>
                <w:lang w:eastAsia="it-IT"/>
              </w:rPr>
            </w:pPr>
            <w:r>
              <w:rPr>
                <w:rFonts w:ascii="Calibri" w:eastAsia="Times New Roman" w:hAnsi="Calibri" w:cs="Times New Roman"/>
                <w:b/>
                <w:bCs/>
                <w:color w:val="000000"/>
                <w:sz w:val="20"/>
                <w:szCs w:val="20"/>
                <w:lang w:eastAsia="it-IT"/>
              </w:rPr>
              <w:t>Ue</w:t>
            </w:r>
          </w:p>
        </w:tc>
        <w:tc>
          <w:tcPr>
            <w:tcW w:w="1380" w:type="dxa"/>
            <w:tcBorders>
              <w:top w:val="single" w:sz="4" w:space="0" w:color="auto"/>
              <w:left w:val="nil"/>
              <w:bottom w:val="single" w:sz="4" w:space="0" w:color="auto"/>
              <w:right w:val="single" w:sz="4" w:space="0" w:color="auto"/>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b/>
                <w:bCs/>
                <w:color w:val="000000"/>
                <w:sz w:val="20"/>
                <w:szCs w:val="20"/>
                <w:lang w:eastAsia="it-IT"/>
              </w:rPr>
            </w:pPr>
            <w:r w:rsidRPr="002D54B0">
              <w:rPr>
                <w:rFonts w:ascii="Calibri" w:eastAsia="Times New Roman" w:hAnsi="Calibri" w:cs="Times New Roman"/>
                <w:b/>
                <w:bCs/>
                <w:color w:val="000000"/>
                <w:sz w:val="20"/>
                <w:szCs w:val="20"/>
                <w:lang w:eastAsia="it-IT"/>
              </w:rPr>
              <w:t>IT</w:t>
            </w:r>
            <w:r>
              <w:rPr>
                <w:rFonts w:ascii="Calibri" w:eastAsia="Times New Roman" w:hAnsi="Calibri" w:cs="Times New Roman"/>
                <w:b/>
                <w:bCs/>
                <w:color w:val="000000"/>
                <w:sz w:val="20"/>
                <w:szCs w:val="20"/>
                <w:lang w:eastAsia="it-IT"/>
              </w:rPr>
              <w:t>ALIA</w:t>
            </w:r>
          </w:p>
        </w:tc>
      </w:tr>
      <w:tr w:rsidR="002D54B0" w:rsidRPr="002D54B0" w:rsidTr="002D54B0">
        <w:trPr>
          <w:trHeight w:val="300"/>
          <w:jc w:val="center"/>
        </w:trPr>
        <w:tc>
          <w:tcPr>
            <w:tcW w:w="3397" w:type="dxa"/>
            <w:tcBorders>
              <w:top w:val="single" w:sz="4" w:space="0" w:color="auto"/>
              <w:left w:val="single" w:sz="4" w:space="0" w:color="auto"/>
              <w:bottom w:val="nil"/>
              <w:right w:val="nil"/>
            </w:tcBorders>
            <w:shd w:val="clear" w:color="000000" w:fill="FFFFFF"/>
            <w:noWrap/>
            <w:vAlign w:val="bottom"/>
            <w:hideMark/>
          </w:tcPr>
          <w:p w:rsidR="002D54B0" w:rsidRPr="002D54B0" w:rsidRDefault="002D54B0" w:rsidP="002D54B0">
            <w:pPr>
              <w:spacing w:after="0" w:line="240" w:lineRule="auto"/>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Alta</w:t>
            </w:r>
          </w:p>
        </w:tc>
        <w:tc>
          <w:tcPr>
            <w:tcW w:w="1400" w:type="dxa"/>
            <w:tcBorders>
              <w:top w:val="single" w:sz="4" w:space="0" w:color="auto"/>
              <w:left w:val="nil"/>
              <w:bottom w:val="nil"/>
              <w:right w:val="nil"/>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13%</w:t>
            </w:r>
          </w:p>
        </w:tc>
        <w:tc>
          <w:tcPr>
            <w:tcW w:w="1380" w:type="dxa"/>
            <w:tcBorders>
              <w:top w:val="single" w:sz="4" w:space="0" w:color="auto"/>
              <w:left w:val="nil"/>
              <w:bottom w:val="nil"/>
              <w:right w:val="single" w:sz="4" w:space="0" w:color="auto"/>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5%</w:t>
            </w:r>
          </w:p>
        </w:tc>
      </w:tr>
      <w:tr w:rsidR="002D54B0" w:rsidRPr="002D54B0" w:rsidTr="002D54B0">
        <w:trPr>
          <w:trHeight w:val="300"/>
          <w:jc w:val="center"/>
        </w:trPr>
        <w:tc>
          <w:tcPr>
            <w:tcW w:w="3397" w:type="dxa"/>
            <w:tcBorders>
              <w:top w:val="nil"/>
              <w:left w:val="single" w:sz="4" w:space="0" w:color="auto"/>
              <w:bottom w:val="nil"/>
              <w:right w:val="nil"/>
            </w:tcBorders>
            <w:shd w:val="clear" w:color="000000" w:fill="FFFFFF"/>
            <w:noWrap/>
            <w:vAlign w:val="bottom"/>
            <w:hideMark/>
          </w:tcPr>
          <w:p w:rsidR="002D54B0" w:rsidRPr="002D54B0" w:rsidRDefault="002D54B0" w:rsidP="002D54B0">
            <w:pPr>
              <w:spacing w:after="0" w:line="240" w:lineRule="auto"/>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 xml:space="preserve">Media </w:t>
            </w:r>
          </w:p>
        </w:tc>
        <w:tc>
          <w:tcPr>
            <w:tcW w:w="1400" w:type="dxa"/>
            <w:tcBorders>
              <w:top w:val="nil"/>
              <w:left w:val="nil"/>
              <w:bottom w:val="nil"/>
              <w:right w:val="nil"/>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48%</w:t>
            </w:r>
          </w:p>
        </w:tc>
        <w:tc>
          <w:tcPr>
            <w:tcW w:w="1380" w:type="dxa"/>
            <w:tcBorders>
              <w:top w:val="nil"/>
              <w:left w:val="nil"/>
              <w:bottom w:val="nil"/>
              <w:right w:val="single" w:sz="4" w:space="0" w:color="auto"/>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43%</w:t>
            </w:r>
          </w:p>
        </w:tc>
      </w:tr>
      <w:tr w:rsidR="002D54B0" w:rsidRPr="002D54B0" w:rsidTr="002D54B0">
        <w:trPr>
          <w:trHeight w:val="300"/>
          <w:jc w:val="center"/>
        </w:trPr>
        <w:tc>
          <w:tcPr>
            <w:tcW w:w="3397" w:type="dxa"/>
            <w:tcBorders>
              <w:top w:val="nil"/>
              <w:left w:val="single" w:sz="4" w:space="0" w:color="auto"/>
              <w:bottom w:val="single" w:sz="4" w:space="0" w:color="auto"/>
              <w:right w:val="nil"/>
            </w:tcBorders>
            <w:shd w:val="clear" w:color="000000" w:fill="FFFFFF"/>
            <w:noWrap/>
            <w:vAlign w:val="bottom"/>
            <w:hideMark/>
          </w:tcPr>
          <w:p w:rsidR="002D54B0" w:rsidRPr="002D54B0" w:rsidRDefault="002D54B0" w:rsidP="002D54B0">
            <w:pPr>
              <w:spacing w:after="0" w:line="240" w:lineRule="auto"/>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Bassa</w:t>
            </w:r>
          </w:p>
        </w:tc>
        <w:tc>
          <w:tcPr>
            <w:tcW w:w="1400" w:type="dxa"/>
            <w:tcBorders>
              <w:top w:val="nil"/>
              <w:left w:val="nil"/>
              <w:bottom w:val="single" w:sz="4" w:space="0" w:color="auto"/>
              <w:right w:val="nil"/>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34%</w:t>
            </w:r>
          </w:p>
        </w:tc>
        <w:tc>
          <w:tcPr>
            <w:tcW w:w="1380" w:type="dxa"/>
            <w:tcBorders>
              <w:top w:val="nil"/>
              <w:left w:val="nil"/>
              <w:bottom w:val="single" w:sz="4" w:space="0" w:color="auto"/>
              <w:right w:val="single" w:sz="4" w:space="0" w:color="auto"/>
            </w:tcBorders>
            <w:shd w:val="clear" w:color="000000" w:fill="FFFFFF"/>
            <w:noWrap/>
            <w:vAlign w:val="bottom"/>
            <w:hideMark/>
          </w:tcPr>
          <w:p w:rsidR="002D54B0" w:rsidRPr="002D54B0" w:rsidRDefault="002D54B0" w:rsidP="002D54B0">
            <w:pPr>
              <w:spacing w:after="0" w:line="240" w:lineRule="auto"/>
              <w:jc w:val="center"/>
              <w:rPr>
                <w:rFonts w:ascii="Calibri" w:eastAsia="Times New Roman" w:hAnsi="Calibri" w:cs="Times New Roman"/>
                <w:color w:val="000000"/>
                <w:sz w:val="20"/>
                <w:szCs w:val="20"/>
                <w:lang w:eastAsia="it-IT"/>
              </w:rPr>
            </w:pPr>
            <w:r w:rsidRPr="002D54B0">
              <w:rPr>
                <w:rFonts w:ascii="Calibri" w:eastAsia="Times New Roman" w:hAnsi="Calibri" w:cs="Times New Roman"/>
                <w:color w:val="000000"/>
                <w:sz w:val="20"/>
                <w:szCs w:val="20"/>
                <w:lang w:eastAsia="it-IT"/>
              </w:rPr>
              <w:t>49%</w:t>
            </w:r>
          </w:p>
        </w:tc>
      </w:tr>
    </w:tbl>
    <w:p w:rsidR="002D54B0" w:rsidRPr="005D04FA" w:rsidRDefault="002D54B0" w:rsidP="002D54B0">
      <w:pPr>
        <w:spacing w:after="0" w:line="276" w:lineRule="auto"/>
        <w:ind w:left="1701"/>
        <w:rPr>
          <w:sz w:val="18"/>
          <w:szCs w:val="18"/>
        </w:rPr>
      </w:pPr>
      <w:r w:rsidRPr="005D04FA">
        <w:rPr>
          <w:sz w:val="18"/>
          <w:szCs w:val="18"/>
        </w:rPr>
        <w:t xml:space="preserve">Fonte: </w:t>
      </w:r>
      <w:r>
        <w:rPr>
          <w:sz w:val="18"/>
          <w:szCs w:val="18"/>
        </w:rPr>
        <w:t>EUROBAROMETRO</w:t>
      </w:r>
    </w:p>
    <w:p w:rsidR="00E820A4" w:rsidRDefault="00E820A4" w:rsidP="00D40E20">
      <w:pPr>
        <w:spacing w:after="0" w:line="276" w:lineRule="auto"/>
        <w:jc w:val="both"/>
      </w:pPr>
    </w:p>
    <w:p w:rsidR="00D40E20" w:rsidRDefault="00D40E20" w:rsidP="00D40E20">
      <w:pPr>
        <w:spacing w:after="0" w:line="276" w:lineRule="auto"/>
        <w:jc w:val="both"/>
      </w:pPr>
      <w:r>
        <w:t xml:space="preserve">Anche </w:t>
      </w:r>
      <w:r w:rsidRPr="00306F61">
        <w:rPr>
          <w:b/>
        </w:rPr>
        <w:t>i dati sulla spesa delle famiglie nel contesto Ue ci posizionano nelle ultime file</w:t>
      </w:r>
      <w:r>
        <w:t xml:space="preserve">. </w:t>
      </w:r>
      <w:r w:rsidR="00D17389">
        <w:t>I</w:t>
      </w:r>
      <w:r w:rsidR="009F4E77">
        <w:t>n base ai</w:t>
      </w:r>
      <w:r w:rsidR="00D17389">
        <w:t xml:space="preserve"> dati Eurostat </w:t>
      </w:r>
      <w:r w:rsidR="009F4E77">
        <w:t>siamo</w:t>
      </w:r>
      <w:r w:rsidR="00D17389">
        <w:t xml:space="preserve"> tra gli ultimi 8 paesi per spesa culturale delle famiglie nella classifica dell’Europa a 27 e al di sotto della media Ue</w:t>
      </w:r>
      <w:r w:rsidR="009F4E77">
        <w:t>.</w:t>
      </w:r>
    </w:p>
    <w:p w:rsidR="00D40E20" w:rsidRDefault="00D40E20" w:rsidP="00F7766C">
      <w:pPr>
        <w:spacing w:after="0" w:line="240" w:lineRule="auto"/>
        <w:jc w:val="center"/>
        <w:rPr>
          <w:sz w:val="20"/>
          <w:szCs w:val="20"/>
        </w:rPr>
      </w:pPr>
      <w:r w:rsidRPr="00D40E20">
        <w:rPr>
          <w:b/>
          <w:sz w:val="20"/>
          <w:szCs w:val="20"/>
        </w:rPr>
        <w:t>Spesa delle famiglie per ricreazione e cultura nei paesi Ue - Anno 2011</w:t>
      </w:r>
    </w:p>
    <w:p w:rsidR="00D40E20" w:rsidRDefault="00D40E20" w:rsidP="00F7766C">
      <w:pPr>
        <w:spacing w:after="0" w:line="240" w:lineRule="auto"/>
        <w:jc w:val="center"/>
        <w:rPr>
          <w:sz w:val="20"/>
          <w:szCs w:val="20"/>
        </w:rPr>
      </w:pPr>
      <w:r w:rsidRPr="00D40E20">
        <w:rPr>
          <w:sz w:val="20"/>
          <w:szCs w:val="20"/>
        </w:rPr>
        <w:t>(in percentuale della spesa totale per consumi finali)</w:t>
      </w:r>
    </w:p>
    <w:p w:rsidR="00306F61" w:rsidRDefault="00306F61" w:rsidP="00D40E20">
      <w:pPr>
        <w:spacing w:after="0" w:line="276" w:lineRule="auto"/>
        <w:jc w:val="center"/>
        <w:rPr>
          <w:sz w:val="20"/>
          <w:szCs w:val="20"/>
        </w:rPr>
      </w:pPr>
      <w:r>
        <w:rPr>
          <w:noProof/>
          <w:lang w:eastAsia="it-IT"/>
        </w:rPr>
        <w:drawing>
          <wp:inline distT="0" distB="0" distL="0" distR="0" wp14:anchorId="27DC962C" wp14:editId="3F4DDAF1">
            <wp:extent cx="6120130" cy="3796030"/>
            <wp:effectExtent l="0" t="0" r="13970" b="1397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766C" w:rsidRPr="005D04FA" w:rsidRDefault="00F7766C" w:rsidP="00F7766C">
      <w:pPr>
        <w:spacing w:after="0" w:line="276" w:lineRule="auto"/>
        <w:rPr>
          <w:sz w:val="18"/>
          <w:szCs w:val="18"/>
        </w:rPr>
      </w:pPr>
      <w:r w:rsidRPr="005D04FA">
        <w:rPr>
          <w:sz w:val="18"/>
          <w:szCs w:val="18"/>
        </w:rPr>
        <w:t xml:space="preserve">Fonte: </w:t>
      </w:r>
      <w:r>
        <w:rPr>
          <w:sz w:val="18"/>
          <w:szCs w:val="18"/>
        </w:rPr>
        <w:t>EUROSTAT</w:t>
      </w:r>
    </w:p>
    <w:p w:rsidR="004E56E9" w:rsidRDefault="000937DF" w:rsidP="00F7766C">
      <w:pPr>
        <w:spacing w:before="360" w:line="276" w:lineRule="auto"/>
        <w:jc w:val="both"/>
        <w:rPr>
          <w:b/>
        </w:rPr>
      </w:pPr>
      <w:r w:rsidRPr="00044B26">
        <w:lastRenderedPageBreak/>
        <w:t xml:space="preserve">Un segnale positivo arriva dai </w:t>
      </w:r>
      <w:r w:rsidRPr="00906BD9">
        <w:rPr>
          <w:b/>
        </w:rPr>
        <w:t>musei statali</w:t>
      </w:r>
      <w:r w:rsidRPr="00044B26">
        <w:t xml:space="preserve"> che nel </w:t>
      </w:r>
      <w:r w:rsidRPr="00906BD9">
        <w:rPr>
          <w:b/>
        </w:rPr>
        <w:t>2013</w:t>
      </w:r>
      <w:r w:rsidRPr="00044B26">
        <w:t xml:space="preserve"> vedono crescere il numero dei </w:t>
      </w:r>
      <w:r w:rsidRPr="004A2F3D">
        <w:rPr>
          <w:b/>
        </w:rPr>
        <w:t>visitatori</w:t>
      </w:r>
      <w:r w:rsidRPr="00044B26">
        <w:t xml:space="preserve"> del </w:t>
      </w:r>
      <w:r w:rsidR="004A2F3D">
        <w:rPr>
          <w:b/>
        </w:rPr>
        <w:t>2,9</w:t>
      </w:r>
      <w:r w:rsidRPr="00906BD9">
        <w:rPr>
          <w:b/>
        </w:rPr>
        <w:t>%</w:t>
      </w:r>
      <w:r w:rsidR="00DA68B7">
        <w:rPr>
          <w:b/>
        </w:rPr>
        <w:t xml:space="preserve"> (38,2 milioni di ingressi totali) </w:t>
      </w:r>
      <w:r w:rsidR="00DA68B7">
        <w:t xml:space="preserve">e gli </w:t>
      </w:r>
      <w:r w:rsidR="00DA68B7" w:rsidRPr="00DA68B7">
        <w:rPr>
          <w:b/>
        </w:rPr>
        <w:t>introiti</w:t>
      </w:r>
      <w:r w:rsidR="00DA68B7">
        <w:t xml:space="preserve"> del </w:t>
      </w:r>
      <w:r w:rsidR="00DA68B7" w:rsidRPr="00DA68B7">
        <w:rPr>
          <w:b/>
        </w:rPr>
        <w:t>7%</w:t>
      </w:r>
      <w:r w:rsidR="00DA68B7">
        <w:t xml:space="preserve"> (</w:t>
      </w:r>
      <w:r w:rsidR="00DA68B7" w:rsidRPr="00DA68B7">
        <w:rPr>
          <w:b/>
        </w:rPr>
        <w:t>126 mln di euro</w:t>
      </w:r>
      <w:r w:rsidR="00DA68B7">
        <w:rPr>
          <w:b/>
        </w:rPr>
        <w:t xml:space="preserve"> lordi</w:t>
      </w:r>
      <w:r w:rsidR="00DA68B7">
        <w:t>)</w:t>
      </w:r>
      <w:r w:rsidRPr="00906BD9">
        <w:rPr>
          <w:b/>
        </w:rPr>
        <w:t>.</w:t>
      </w:r>
    </w:p>
    <w:p w:rsidR="00F7766C" w:rsidRPr="00F7766C" w:rsidRDefault="00F7766C" w:rsidP="00F7766C">
      <w:pPr>
        <w:spacing w:before="240" w:after="0" w:line="276" w:lineRule="auto"/>
        <w:jc w:val="center"/>
        <w:rPr>
          <w:b/>
          <w:sz w:val="20"/>
          <w:szCs w:val="20"/>
        </w:rPr>
      </w:pPr>
      <w:r w:rsidRPr="00F7766C">
        <w:rPr>
          <w:b/>
          <w:sz w:val="20"/>
          <w:szCs w:val="20"/>
        </w:rPr>
        <w:t xml:space="preserve">Visitatori dei siti culturali statali – </w:t>
      </w:r>
      <w:r w:rsidRPr="00F7766C">
        <w:rPr>
          <w:sz w:val="20"/>
          <w:szCs w:val="20"/>
        </w:rPr>
        <w:t>serie storica 1996/2013</w:t>
      </w:r>
    </w:p>
    <w:p w:rsidR="00F7766C" w:rsidRDefault="00F7766C" w:rsidP="00F7766C">
      <w:pPr>
        <w:spacing w:after="0" w:line="276" w:lineRule="auto"/>
        <w:jc w:val="both"/>
        <w:rPr>
          <w:b/>
        </w:rPr>
      </w:pPr>
      <w:r>
        <w:rPr>
          <w:noProof/>
          <w:lang w:eastAsia="it-IT"/>
        </w:rPr>
        <w:drawing>
          <wp:inline distT="0" distB="0" distL="0" distR="0" wp14:anchorId="596065DA" wp14:editId="043C5384">
            <wp:extent cx="6120130" cy="1234440"/>
            <wp:effectExtent l="0" t="0" r="13970" b="3810"/>
            <wp:docPr id="12" name="Gra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7766C" w:rsidRPr="005D04FA" w:rsidRDefault="00F7766C" w:rsidP="00F7766C">
      <w:pPr>
        <w:spacing w:after="0" w:line="276" w:lineRule="auto"/>
        <w:rPr>
          <w:sz w:val="18"/>
          <w:szCs w:val="18"/>
        </w:rPr>
      </w:pPr>
      <w:r w:rsidRPr="005D04FA">
        <w:rPr>
          <w:sz w:val="18"/>
          <w:szCs w:val="18"/>
        </w:rPr>
        <w:t xml:space="preserve">Fonte: elaborazioni Federculture su dati </w:t>
      </w:r>
      <w:r>
        <w:rPr>
          <w:sz w:val="18"/>
          <w:szCs w:val="18"/>
        </w:rPr>
        <w:t>MiBACT</w:t>
      </w:r>
    </w:p>
    <w:p w:rsidR="004E56E9" w:rsidRDefault="004E56E9" w:rsidP="00AB73D9">
      <w:pPr>
        <w:spacing w:before="360" w:line="276" w:lineRule="auto"/>
        <w:jc w:val="both"/>
      </w:pPr>
      <w:r w:rsidRPr="004E56E9">
        <w:t xml:space="preserve">Ma </w:t>
      </w:r>
      <w:r>
        <w:t>tra i musei statali permane un problema di concentrazione dei flussi di visita. Al di là dei grandi attrattori che ogni anno totalizzano milioni di visitatori</w:t>
      </w:r>
      <w:r w:rsidR="00AB73D9">
        <w:t xml:space="preserve"> (</w:t>
      </w:r>
      <w:r w:rsidR="00AB73D9" w:rsidRPr="004A2F3D">
        <w:rPr>
          <w:b/>
        </w:rPr>
        <w:t>nei 30 siti più popolari si concentra il 53% degli ingressi</w:t>
      </w:r>
      <w:r w:rsidR="00AB73D9">
        <w:t>)</w:t>
      </w:r>
      <w:r>
        <w:t xml:space="preserve">, sono moltissimi i </w:t>
      </w:r>
      <w:r w:rsidR="00AB73D9">
        <w:t>musei</w:t>
      </w:r>
      <w:r>
        <w:t xml:space="preserve"> che rimangono deserti.</w:t>
      </w:r>
    </w:p>
    <w:p w:rsidR="00AB73D9" w:rsidRDefault="000937DF" w:rsidP="00AB73D9">
      <w:pPr>
        <w:pBdr>
          <w:top w:val="single" w:sz="4" w:space="3" w:color="auto"/>
          <w:left w:val="single" w:sz="4" w:space="4" w:color="auto"/>
          <w:bottom w:val="single" w:sz="4" w:space="3" w:color="auto"/>
          <w:right w:val="single" w:sz="4" w:space="4" w:color="auto"/>
        </w:pBdr>
        <w:shd w:val="clear" w:color="auto" w:fill="FFFFCC"/>
        <w:spacing w:before="240" w:after="0" w:line="276" w:lineRule="auto"/>
        <w:jc w:val="both"/>
        <w:rPr>
          <w:b/>
        </w:rPr>
      </w:pPr>
      <w:r w:rsidRPr="004E56E9">
        <w:rPr>
          <w:b/>
        </w:rPr>
        <w:t xml:space="preserve">Tra gli </w:t>
      </w:r>
      <w:r w:rsidR="004E56E9" w:rsidRPr="004E56E9">
        <w:rPr>
          <w:b/>
        </w:rPr>
        <w:t xml:space="preserve">oltre 400 </w:t>
      </w:r>
      <w:r w:rsidR="00164730">
        <w:rPr>
          <w:b/>
        </w:rPr>
        <w:t>siti</w:t>
      </w:r>
      <w:r w:rsidRPr="004E56E9">
        <w:rPr>
          <w:b/>
        </w:rPr>
        <w:t xml:space="preserve"> </w:t>
      </w:r>
      <w:r w:rsidR="00164730">
        <w:rPr>
          <w:b/>
        </w:rPr>
        <w:t xml:space="preserve">culturali </w:t>
      </w:r>
      <w:r w:rsidRPr="004E56E9">
        <w:rPr>
          <w:b/>
        </w:rPr>
        <w:t xml:space="preserve">statali </w:t>
      </w:r>
      <w:r w:rsidRPr="00F7766C">
        <w:t>(musei, monumenti e aree archeologiche)</w:t>
      </w:r>
      <w:r w:rsidRPr="004E56E9">
        <w:rPr>
          <w:b/>
        </w:rPr>
        <w:t xml:space="preserve"> ben </w:t>
      </w:r>
      <w:r w:rsidR="00C377B2">
        <w:rPr>
          <w:b/>
        </w:rPr>
        <w:t>77</w:t>
      </w:r>
      <w:r w:rsidR="004E56E9" w:rsidRPr="004E56E9">
        <w:rPr>
          <w:b/>
        </w:rPr>
        <w:t xml:space="preserve">, </w:t>
      </w:r>
      <w:r w:rsidR="00164730">
        <w:rPr>
          <w:b/>
        </w:rPr>
        <w:t xml:space="preserve">il </w:t>
      </w:r>
      <w:r w:rsidR="00C377B2">
        <w:rPr>
          <w:b/>
        </w:rPr>
        <w:t>19</w:t>
      </w:r>
      <w:r w:rsidR="004E56E9" w:rsidRPr="004E56E9">
        <w:rPr>
          <w:b/>
        </w:rPr>
        <w:t>%,</w:t>
      </w:r>
      <w:r w:rsidR="004E56E9" w:rsidRPr="00F7766C">
        <w:t xml:space="preserve"> </w:t>
      </w:r>
      <w:r w:rsidR="00AB73D9">
        <w:rPr>
          <w:b/>
        </w:rPr>
        <w:t>in un anno non ha</w:t>
      </w:r>
      <w:r w:rsidR="00C377B2">
        <w:rPr>
          <w:b/>
        </w:rPr>
        <w:t>nno</w:t>
      </w:r>
      <w:r w:rsidR="00AB73D9">
        <w:rPr>
          <w:b/>
        </w:rPr>
        <w:t xml:space="preserve"> raggiunto i 1.000 visitatori</w:t>
      </w:r>
      <w:r w:rsidR="00AB73D9" w:rsidRPr="00AB73D9">
        <w:t>,</w:t>
      </w:r>
      <w:r w:rsidR="00AB73D9">
        <w:rPr>
          <w:b/>
        </w:rPr>
        <w:t xml:space="preserve"> </w:t>
      </w:r>
      <w:r w:rsidR="00AB73D9" w:rsidRPr="00AB73D9">
        <w:t xml:space="preserve">vale a dire </w:t>
      </w:r>
      <w:r w:rsidR="00AB73D9">
        <w:rPr>
          <w:b/>
        </w:rPr>
        <w:t>meno di 3 ingressi al giorno.</w:t>
      </w:r>
    </w:p>
    <w:p w:rsidR="000937DF" w:rsidRPr="004E56E9" w:rsidRDefault="00AB73D9" w:rsidP="00AB73D9">
      <w:pPr>
        <w:pBdr>
          <w:top w:val="single" w:sz="4" w:space="3" w:color="auto"/>
          <w:left w:val="single" w:sz="4" w:space="4" w:color="auto"/>
          <w:bottom w:val="single" w:sz="4" w:space="3" w:color="auto"/>
          <w:right w:val="single" w:sz="4" w:space="4" w:color="auto"/>
        </w:pBdr>
        <w:shd w:val="clear" w:color="auto" w:fill="FFFFCC"/>
        <w:spacing w:after="240" w:line="276" w:lineRule="auto"/>
        <w:jc w:val="both"/>
      </w:pPr>
      <w:r w:rsidRPr="00AB73D9">
        <w:t xml:space="preserve">Tra questi </w:t>
      </w:r>
      <w:r w:rsidRPr="00AB73D9">
        <w:rPr>
          <w:b/>
        </w:rPr>
        <w:t>circa 50</w:t>
      </w:r>
      <w:r>
        <w:t xml:space="preserve"> </w:t>
      </w:r>
      <w:r w:rsidR="000937DF" w:rsidRPr="004E56E9">
        <w:rPr>
          <w:b/>
        </w:rPr>
        <w:t>non hanno realizzato né visitatori né introiti</w:t>
      </w:r>
      <w:r>
        <w:rPr>
          <w:b/>
        </w:rPr>
        <w:t xml:space="preserve"> </w:t>
      </w:r>
      <w:r w:rsidR="00C377B2" w:rsidRPr="00C377B2">
        <w:t>(</w:t>
      </w:r>
      <w:r w:rsidR="00C377B2">
        <w:t>alcuni di questi sono ad ingresso gratuito)</w:t>
      </w:r>
      <w:r w:rsidR="000937DF" w:rsidRPr="004E56E9">
        <w:t>.</w:t>
      </w:r>
      <w:r w:rsidR="004E56E9" w:rsidRPr="004E56E9">
        <w:t xml:space="preserve"> </w:t>
      </w:r>
    </w:p>
    <w:p w:rsidR="000937DF" w:rsidRPr="004E56E9" w:rsidRDefault="000937DF" w:rsidP="00F7766C">
      <w:pPr>
        <w:spacing w:before="120" w:line="276" w:lineRule="auto"/>
        <w:jc w:val="both"/>
      </w:pPr>
      <w:r w:rsidRPr="004E56E9">
        <w:t xml:space="preserve">Il </w:t>
      </w:r>
      <w:r w:rsidRPr="004E56E9">
        <w:rPr>
          <w:b/>
        </w:rPr>
        <w:t>sito statale meno visitato del 2013</w:t>
      </w:r>
      <w:r w:rsidRPr="004E56E9">
        <w:t xml:space="preserve"> è stato </w:t>
      </w:r>
      <w:r w:rsidR="005D6032">
        <w:t>il Chiostro dell’ex C</w:t>
      </w:r>
      <w:r w:rsidRPr="004E56E9">
        <w:t xml:space="preserve">onvento di San Domenico a Taranto dove sono entrate in </w:t>
      </w:r>
      <w:r w:rsidR="004E56E9">
        <w:t>un anno 19 persone.</w:t>
      </w:r>
    </w:p>
    <w:p w:rsidR="004E56E9" w:rsidRPr="00E9760E" w:rsidRDefault="004E56E9" w:rsidP="004E56E9">
      <w:pPr>
        <w:spacing w:after="0" w:line="276" w:lineRule="auto"/>
        <w:ind w:left="360"/>
        <w:jc w:val="center"/>
        <w:rPr>
          <w:b/>
        </w:rPr>
      </w:pPr>
      <w:r w:rsidRPr="00E9760E">
        <w:rPr>
          <w:b/>
        </w:rPr>
        <w:t>I 10 istituti statali meno visitati nel 2013</w:t>
      </w:r>
    </w:p>
    <w:p w:rsidR="004E56E9" w:rsidRDefault="004E56E9" w:rsidP="004E56E9">
      <w:pPr>
        <w:spacing w:after="0" w:line="276" w:lineRule="auto"/>
        <w:ind w:left="68"/>
      </w:pPr>
      <w:r w:rsidRPr="00E9760E">
        <w:rPr>
          <w:b/>
          <w:noProof/>
          <w:lang w:eastAsia="it-IT"/>
        </w:rPr>
        <w:drawing>
          <wp:inline distT="0" distB="0" distL="0" distR="0" wp14:anchorId="17AAEC6B" wp14:editId="133C79A0">
            <wp:extent cx="6120000" cy="3412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000" cy="3412800"/>
                    </a:xfrm>
                    <a:prstGeom prst="rect">
                      <a:avLst/>
                    </a:prstGeom>
                    <a:noFill/>
                    <a:ln>
                      <a:noFill/>
                    </a:ln>
                  </pic:spPr>
                </pic:pic>
              </a:graphicData>
            </a:graphic>
          </wp:inline>
        </w:drawing>
      </w:r>
    </w:p>
    <w:p w:rsidR="00021649" w:rsidRPr="005D04FA" w:rsidRDefault="00021649" w:rsidP="00021649">
      <w:pPr>
        <w:spacing w:after="0" w:line="276" w:lineRule="auto"/>
        <w:rPr>
          <w:sz w:val="18"/>
          <w:szCs w:val="18"/>
        </w:rPr>
      </w:pPr>
      <w:r w:rsidRPr="005D04FA">
        <w:rPr>
          <w:sz w:val="18"/>
          <w:szCs w:val="18"/>
        </w:rPr>
        <w:t xml:space="preserve">Fonte: elaborazioni Federculture su dati </w:t>
      </w:r>
      <w:r>
        <w:rPr>
          <w:sz w:val="18"/>
          <w:szCs w:val="18"/>
        </w:rPr>
        <w:t>MiBACT</w:t>
      </w:r>
    </w:p>
    <w:p w:rsidR="007E084B" w:rsidRDefault="004E56E9" w:rsidP="00164730">
      <w:pPr>
        <w:spacing w:before="360" w:after="0" w:line="276" w:lineRule="auto"/>
        <w:jc w:val="both"/>
        <w:rPr>
          <w:sz w:val="20"/>
          <w:szCs w:val="20"/>
        </w:rPr>
      </w:pPr>
      <w:r>
        <w:t>S</w:t>
      </w:r>
      <w:r w:rsidR="000937DF" w:rsidRPr="00044B26">
        <w:t xml:space="preserve">e il dato statale </w:t>
      </w:r>
      <w:r>
        <w:t xml:space="preserve">complessivo </w:t>
      </w:r>
      <w:r w:rsidR="000937DF" w:rsidRPr="00044B26">
        <w:t xml:space="preserve">fa registrare una tendenza in crescita, al contrario, analizzando le singole città d'arte il panorama relativo ai </w:t>
      </w:r>
      <w:r w:rsidR="000937DF" w:rsidRPr="00906BD9">
        <w:rPr>
          <w:b/>
        </w:rPr>
        <w:t>musei civici</w:t>
      </w:r>
      <w:r w:rsidR="000937DF" w:rsidRPr="00044B26">
        <w:t xml:space="preserve"> </w:t>
      </w:r>
      <w:r w:rsidR="00906BD9">
        <w:t xml:space="preserve">è </w:t>
      </w:r>
      <w:r w:rsidR="000937DF" w:rsidRPr="00044B26">
        <w:t>meno con</w:t>
      </w:r>
      <w:r w:rsidR="004E77AB">
        <w:t>fortante: a parte Firenze (+66</w:t>
      </w:r>
      <w:r w:rsidR="000937DF" w:rsidRPr="00044B26">
        <w:t xml:space="preserve">%), Genova (+18%) e Torino (+7%), </w:t>
      </w:r>
      <w:r w:rsidR="000937DF" w:rsidRPr="005D6032">
        <w:rPr>
          <w:b/>
        </w:rPr>
        <w:t>i principali poli di attrazione culturale segnano una flessione di non poco conto</w:t>
      </w:r>
      <w:r w:rsidR="000937DF" w:rsidRPr="00044B26">
        <w:t xml:space="preserve"> in cui spiccano </w:t>
      </w:r>
      <w:r w:rsidR="000937DF" w:rsidRPr="004A2F3D">
        <w:rPr>
          <w:b/>
        </w:rPr>
        <w:t>Roma</w:t>
      </w:r>
      <w:r w:rsidR="000937DF" w:rsidRPr="00044B26">
        <w:t xml:space="preserve"> con un </w:t>
      </w:r>
      <w:r w:rsidR="004E77AB">
        <w:rPr>
          <w:b/>
        </w:rPr>
        <w:t>calo del 5,8</w:t>
      </w:r>
      <w:r w:rsidR="000937DF" w:rsidRPr="004A2F3D">
        <w:rPr>
          <w:b/>
        </w:rPr>
        <w:t>%</w:t>
      </w:r>
      <w:r w:rsidR="004A2F3D">
        <w:t xml:space="preserve"> seguita da </w:t>
      </w:r>
      <w:r w:rsidR="004A2F3D" w:rsidRPr="004E77AB">
        <w:rPr>
          <w:b/>
        </w:rPr>
        <w:t>Palermo -5,3</w:t>
      </w:r>
      <w:r w:rsidR="000937DF" w:rsidRPr="004E77AB">
        <w:rPr>
          <w:b/>
        </w:rPr>
        <w:t>%</w:t>
      </w:r>
      <w:r w:rsidR="000937DF" w:rsidRPr="004E77AB">
        <w:t>,</w:t>
      </w:r>
      <w:r w:rsidR="000937DF" w:rsidRPr="00044B26">
        <w:t xml:space="preserve"> </w:t>
      </w:r>
      <w:r w:rsidR="000937DF" w:rsidRPr="004E77AB">
        <w:rPr>
          <w:b/>
        </w:rPr>
        <w:t xml:space="preserve">Milano </w:t>
      </w:r>
      <w:r w:rsidR="004A2F3D" w:rsidRPr="004E77AB">
        <w:rPr>
          <w:b/>
        </w:rPr>
        <w:t>-4,2%</w:t>
      </w:r>
      <w:r w:rsidR="000937DF" w:rsidRPr="00044B26">
        <w:t xml:space="preserve">, </w:t>
      </w:r>
      <w:r w:rsidR="000937DF" w:rsidRPr="004E77AB">
        <w:rPr>
          <w:b/>
        </w:rPr>
        <w:t>Bologna -4,1%</w:t>
      </w:r>
      <w:r w:rsidR="000937DF" w:rsidRPr="00044B26">
        <w:t xml:space="preserve"> e </w:t>
      </w:r>
      <w:r w:rsidR="000937DF" w:rsidRPr="004E77AB">
        <w:rPr>
          <w:b/>
        </w:rPr>
        <w:t>Venezia</w:t>
      </w:r>
      <w:r w:rsidR="004E77AB">
        <w:rPr>
          <w:b/>
        </w:rPr>
        <w:t xml:space="preserve"> </w:t>
      </w:r>
      <w:r w:rsidR="004E77AB" w:rsidRPr="004E77AB">
        <w:rPr>
          <w:b/>
        </w:rPr>
        <w:t>-2%</w:t>
      </w:r>
      <w:r w:rsidR="000937DF" w:rsidRPr="00044B26">
        <w:t>.</w:t>
      </w:r>
    </w:p>
    <w:p w:rsidR="00E820A4" w:rsidRDefault="00E820A4">
      <w:pPr>
        <w:rPr>
          <w:b/>
          <w:sz w:val="20"/>
          <w:szCs w:val="20"/>
        </w:rPr>
      </w:pPr>
      <w:r>
        <w:rPr>
          <w:b/>
          <w:sz w:val="20"/>
          <w:szCs w:val="20"/>
        </w:rPr>
        <w:br w:type="page"/>
      </w:r>
    </w:p>
    <w:p w:rsidR="007E084B" w:rsidRPr="00164730" w:rsidRDefault="007E084B" w:rsidP="00021649">
      <w:pPr>
        <w:spacing w:after="0" w:line="276" w:lineRule="auto"/>
        <w:jc w:val="center"/>
        <w:rPr>
          <w:sz w:val="20"/>
          <w:szCs w:val="20"/>
        </w:rPr>
      </w:pPr>
      <w:r w:rsidRPr="00164730">
        <w:rPr>
          <w:b/>
          <w:sz w:val="20"/>
          <w:szCs w:val="20"/>
        </w:rPr>
        <w:lastRenderedPageBreak/>
        <w:t>Visitatori dei musei civici</w:t>
      </w:r>
      <w:r w:rsidRPr="00164730">
        <w:rPr>
          <w:sz w:val="20"/>
          <w:szCs w:val="20"/>
        </w:rPr>
        <w:t xml:space="preserve"> – Var. 2013/2012</w:t>
      </w:r>
    </w:p>
    <w:p w:rsidR="007E084B" w:rsidRDefault="007E084B" w:rsidP="00BD7A6C">
      <w:pPr>
        <w:spacing w:after="0" w:line="276" w:lineRule="auto"/>
        <w:jc w:val="center"/>
        <w:rPr>
          <w:b/>
        </w:rPr>
      </w:pPr>
      <w:r>
        <w:rPr>
          <w:noProof/>
          <w:lang w:eastAsia="it-IT"/>
        </w:rPr>
        <w:drawing>
          <wp:inline distT="0" distB="0" distL="0" distR="0" wp14:anchorId="317E3A6B" wp14:editId="5293F515">
            <wp:extent cx="6120130" cy="2395220"/>
            <wp:effectExtent l="0" t="0" r="13970" b="5080"/>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E084B" w:rsidRPr="005D04FA" w:rsidRDefault="007E084B" w:rsidP="007E084B">
      <w:pPr>
        <w:spacing w:after="0" w:line="276" w:lineRule="auto"/>
        <w:rPr>
          <w:sz w:val="18"/>
          <w:szCs w:val="18"/>
        </w:rPr>
      </w:pPr>
      <w:r w:rsidRPr="005D04FA">
        <w:rPr>
          <w:sz w:val="18"/>
          <w:szCs w:val="18"/>
        </w:rPr>
        <w:t xml:space="preserve">Fonte: </w:t>
      </w:r>
      <w:r>
        <w:rPr>
          <w:sz w:val="18"/>
          <w:szCs w:val="18"/>
        </w:rPr>
        <w:t>dati</w:t>
      </w:r>
      <w:r w:rsidRPr="005D04FA">
        <w:rPr>
          <w:sz w:val="18"/>
          <w:szCs w:val="18"/>
        </w:rPr>
        <w:t xml:space="preserve"> Federculture </w:t>
      </w:r>
    </w:p>
    <w:p w:rsidR="000937DF" w:rsidRPr="00086010" w:rsidRDefault="000937DF" w:rsidP="00E820A4">
      <w:pPr>
        <w:spacing w:after="120"/>
        <w:rPr>
          <w:b/>
          <w:sz w:val="24"/>
          <w:szCs w:val="32"/>
        </w:rPr>
      </w:pPr>
    </w:p>
    <w:p w:rsidR="003C29B7" w:rsidRDefault="00086010" w:rsidP="00E820A4">
      <w:pPr>
        <w:spacing w:before="120" w:after="0" w:line="276" w:lineRule="auto"/>
        <w:jc w:val="both"/>
      </w:pPr>
      <w:r>
        <w:t xml:space="preserve">Anche sul fronte delle </w:t>
      </w:r>
      <w:r w:rsidRPr="00086010">
        <w:rPr>
          <w:b/>
        </w:rPr>
        <w:t>mostre d’arte</w:t>
      </w:r>
      <w:r>
        <w:t xml:space="preserve"> si rileva una flessione: considerando le </w:t>
      </w:r>
      <w:r w:rsidRPr="00086010">
        <w:rPr>
          <w:b/>
        </w:rPr>
        <w:t>prime 10 mostre</w:t>
      </w:r>
      <w:r>
        <w:t xml:space="preserve"> più viste nell’anno</w:t>
      </w:r>
      <w:r w:rsidR="004E77AB">
        <w:t xml:space="preserve"> nel territorio nazionale</w:t>
      </w:r>
      <w:r>
        <w:t xml:space="preserve">, quelle del </w:t>
      </w:r>
      <w:r w:rsidRPr="00086010">
        <w:rPr>
          <w:b/>
        </w:rPr>
        <w:t>2013</w:t>
      </w:r>
      <w:r>
        <w:t xml:space="preserve"> hanno attratto un pubblico di </w:t>
      </w:r>
      <w:r w:rsidRPr="00086010">
        <w:rPr>
          <w:b/>
        </w:rPr>
        <w:t>2,1 milioni di persone</w:t>
      </w:r>
      <w:r>
        <w:t xml:space="preserve">, il </w:t>
      </w:r>
      <w:r w:rsidRPr="00086010">
        <w:rPr>
          <w:b/>
        </w:rPr>
        <w:t>21% in meno</w:t>
      </w:r>
      <w:r>
        <w:t xml:space="preserve"> di quelle del </w:t>
      </w:r>
      <w:r w:rsidRPr="00086010">
        <w:rPr>
          <w:b/>
        </w:rPr>
        <w:t>2012</w:t>
      </w:r>
      <w:r>
        <w:t xml:space="preserve"> che avevano avuto </w:t>
      </w:r>
      <w:r w:rsidRPr="00AF44D7">
        <w:rPr>
          <w:b/>
        </w:rPr>
        <w:t>2,6 milioni di visitatori</w:t>
      </w:r>
      <w:r>
        <w:t>.</w:t>
      </w:r>
    </w:p>
    <w:p w:rsidR="00D63D54" w:rsidRDefault="00D63D54" w:rsidP="00D63D54">
      <w:pPr>
        <w:spacing w:before="120" w:after="0" w:line="276" w:lineRule="auto"/>
        <w:jc w:val="both"/>
      </w:pPr>
      <w:r>
        <w:t>Colpisce inoltre il fatto che, ancora una volta, nella classifica delle mostre internazionali più visitate non compaia nessuna esposizione italiana.</w:t>
      </w:r>
    </w:p>
    <w:p w:rsidR="00D63D54" w:rsidRDefault="00D63D54" w:rsidP="00E820A4">
      <w:pPr>
        <w:spacing w:after="120"/>
      </w:pPr>
    </w:p>
    <w:tbl>
      <w:tblPr>
        <w:tblW w:w="10320" w:type="dxa"/>
        <w:tblInd w:w="-214" w:type="dxa"/>
        <w:tblCellMar>
          <w:left w:w="70" w:type="dxa"/>
          <w:right w:w="70" w:type="dxa"/>
        </w:tblCellMar>
        <w:tblLook w:val="04A0" w:firstRow="1" w:lastRow="0" w:firstColumn="1" w:lastColumn="0" w:noHBand="0" w:noVBand="1"/>
      </w:tblPr>
      <w:tblGrid>
        <w:gridCol w:w="993"/>
        <w:gridCol w:w="1807"/>
        <w:gridCol w:w="1169"/>
        <w:gridCol w:w="715"/>
        <w:gridCol w:w="775"/>
        <w:gridCol w:w="870"/>
        <w:gridCol w:w="1607"/>
        <w:gridCol w:w="1276"/>
        <w:gridCol w:w="1108"/>
      </w:tblGrid>
      <w:tr w:rsidR="003C29B7" w:rsidRPr="003C29B7" w:rsidTr="00D63D54">
        <w:trPr>
          <w:trHeight w:val="300"/>
        </w:trPr>
        <w:tc>
          <w:tcPr>
            <w:tcW w:w="4684" w:type="dxa"/>
            <w:gridSpan w:val="4"/>
            <w:tcBorders>
              <w:top w:val="single" w:sz="4" w:space="0" w:color="auto"/>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 xml:space="preserve">Le mostre italiane più visitate del 2013 </w:t>
            </w:r>
            <w:r w:rsidRPr="003C29B7">
              <w:rPr>
                <w:rFonts w:eastAsia="Times New Roman" w:cs="Times New Roman"/>
                <w:i/>
                <w:iCs/>
                <w:color w:val="000000"/>
                <w:sz w:val="18"/>
                <w:szCs w:val="18"/>
                <w:lang w:eastAsia="it-IT"/>
              </w:rPr>
              <w:t>(per vis</w:t>
            </w:r>
            <w:r>
              <w:rPr>
                <w:rFonts w:eastAsia="Times New Roman" w:cs="Times New Roman"/>
                <w:i/>
                <w:iCs/>
                <w:color w:val="000000"/>
                <w:sz w:val="18"/>
                <w:szCs w:val="18"/>
                <w:lang w:eastAsia="it-IT"/>
              </w:rPr>
              <w:t>i</w:t>
            </w:r>
            <w:r w:rsidRPr="003C29B7">
              <w:rPr>
                <w:rFonts w:eastAsia="Times New Roman" w:cs="Times New Roman"/>
                <w:i/>
                <w:iCs/>
                <w:color w:val="000000"/>
                <w:sz w:val="18"/>
                <w:szCs w:val="18"/>
                <w:lang w:eastAsia="it-IT"/>
              </w:rPr>
              <w:t>tatori totali)</w:t>
            </w:r>
          </w:p>
        </w:tc>
        <w:tc>
          <w:tcPr>
            <w:tcW w:w="775" w:type="dxa"/>
            <w:tcBorders>
              <w:top w:val="nil"/>
              <w:left w:val="nil"/>
              <w:bottom w:val="nil"/>
              <w:right w:val="nil"/>
            </w:tcBorders>
            <w:shd w:val="clear" w:color="000000" w:fill="FFFFFF"/>
            <w:noWrap/>
            <w:vAlign w:val="bottom"/>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4861" w:type="dxa"/>
            <w:gridSpan w:val="4"/>
            <w:tcBorders>
              <w:top w:val="single" w:sz="4" w:space="0" w:color="auto"/>
              <w:left w:val="nil"/>
              <w:bottom w:val="single" w:sz="4" w:space="0" w:color="auto"/>
              <w:right w:val="nil"/>
            </w:tcBorders>
            <w:shd w:val="clear" w:color="000000" w:fill="FFFFFF"/>
            <w:noWrap/>
            <w:vAlign w:val="bottom"/>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 xml:space="preserve">Le mostre internazionali più visitate del 2013 </w:t>
            </w:r>
            <w:r w:rsidRPr="003C29B7">
              <w:rPr>
                <w:rFonts w:eastAsia="Times New Roman" w:cs="Times New Roman"/>
                <w:i/>
                <w:iCs/>
                <w:color w:val="000000"/>
                <w:sz w:val="18"/>
                <w:szCs w:val="18"/>
                <w:lang w:eastAsia="it-IT"/>
              </w:rPr>
              <w:t>(per vis</w:t>
            </w:r>
            <w:r>
              <w:rPr>
                <w:rFonts w:eastAsia="Times New Roman" w:cs="Times New Roman"/>
                <w:i/>
                <w:iCs/>
                <w:color w:val="000000"/>
                <w:sz w:val="18"/>
                <w:szCs w:val="18"/>
                <w:lang w:eastAsia="it-IT"/>
              </w:rPr>
              <w:t>i</w:t>
            </w:r>
            <w:r w:rsidRPr="003C29B7">
              <w:rPr>
                <w:rFonts w:eastAsia="Times New Roman" w:cs="Times New Roman"/>
                <w:i/>
                <w:iCs/>
                <w:color w:val="000000"/>
                <w:sz w:val="18"/>
                <w:szCs w:val="18"/>
                <w:lang w:eastAsia="it-IT"/>
              </w:rPr>
              <w:t>tatori totali)</w:t>
            </w:r>
          </w:p>
        </w:tc>
      </w:tr>
      <w:tr w:rsidR="003C29B7" w:rsidRPr="003C29B7" w:rsidTr="00D63D54">
        <w:trPr>
          <w:trHeight w:val="300"/>
        </w:trPr>
        <w:tc>
          <w:tcPr>
            <w:tcW w:w="993"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Visitatori totali</w:t>
            </w:r>
          </w:p>
        </w:tc>
        <w:tc>
          <w:tcPr>
            <w:tcW w:w="1807"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Titolo della mostra</w:t>
            </w:r>
          </w:p>
        </w:tc>
        <w:tc>
          <w:tcPr>
            <w:tcW w:w="1169"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Sede</w:t>
            </w:r>
          </w:p>
        </w:tc>
        <w:tc>
          <w:tcPr>
            <w:tcW w:w="715"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Città</w:t>
            </w:r>
          </w:p>
        </w:tc>
        <w:tc>
          <w:tcPr>
            <w:tcW w:w="775" w:type="dxa"/>
            <w:tcBorders>
              <w:top w:val="nil"/>
              <w:left w:val="nil"/>
              <w:bottom w:val="nil"/>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p>
        </w:tc>
        <w:tc>
          <w:tcPr>
            <w:tcW w:w="870"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Visitatori totali</w:t>
            </w:r>
          </w:p>
        </w:tc>
        <w:tc>
          <w:tcPr>
            <w:tcW w:w="1607"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Titolo della mostra</w:t>
            </w:r>
          </w:p>
        </w:tc>
        <w:tc>
          <w:tcPr>
            <w:tcW w:w="1276"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Sede</w:t>
            </w:r>
          </w:p>
        </w:tc>
        <w:tc>
          <w:tcPr>
            <w:tcW w:w="1108" w:type="dxa"/>
            <w:tcBorders>
              <w:top w:val="nil"/>
              <w:left w:val="nil"/>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b/>
                <w:bCs/>
                <w:color w:val="000000"/>
                <w:sz w:val="18"/>
                <w:szCs w:val="18"/>
                <w:lang w:eastAsia="it-IT"/>
              </w:rPr>
            </w:pPr>
            <w:r w:rsidRPr="003C29B7">
              <w:rPr>
                <w:rFonts w:eastAsia="Times New Roman" w:cs="Times New Roman"/>
                <w:b/>
                <w:bCs/>
                <w:color w:val="000000"/>
                <w:sz w:val="18"/>
                <w:szCs w:val="18"/>
                <w:lang w:eastAsia="it-IT"/>
              </w:rPr>
              <w:t>Città</w:t>
            </w:r>
          </w:p>
        </w:tc>
      </w:tr>
      <w:tr w:rsidR="003C29B7"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475.000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Espos. Int. D'Arte Biennale di Venezia</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Arsenale e Giardini</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Venezia</w:t>
            </w:r>
          </w:p>
        </w:tc>
        <w:tc>
          <w:tcPr>
            <w:tcW w:w="775" w:type="dxa"/>
            <w:tcBorders>
              <w:top w:val="nil"/>
              <w:left w:val="nil"/>
              <w:bottom w:val="nil"/>
              <w:right w:val="nil"/>
            </w:tcBorders>
            <w:shd w:val="clear" w:color="000000" w:fill="FFFFFF"/>
            <w:noWrap/>
            <w:vAlign w:val="bottom"/>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1.017.146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Edward Munch: l'urlo</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MoMa</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New York</w:t>
            </w:r>
          </w:p>
        </w:tc>
      </w:tr>
      <w:tr w:rsidR="003C29B7" w:rsidRPr="003C29B7" w:rsidTr="00D63D54">
        <w:trPr>
          <w:trHeight w:val="345"/>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245.979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Tiziano</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Scuderie del Quirinale</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Roma</w:t>
            </w:r>
          </w:p>
        </w:tc>
        <w:tc>
          <w:tcPr>
            <w:tcW w:w="775" w:type="dxa"/>
            <w:tcBorders>
              <w:top w:val="nil"/>
              <w:left w:val="nil"/>
              <w:bottom w:val="nil"/>
              <w:right w:val="nil"/>
            </w:tcBorders>
            <w:shd w:val="clear" w:color="000000" w:fill="FFFFFF"/>
            <w:noWrap/>
            <w:vAlign w:val="bottom"/>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1.007.026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La dinastia Zhou occidentale</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National Palace Museum</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Taipei</w:t>
            </w:r>
          </w:p>
        </w:tc>
      </w:tr>
      <w:tr w:rsidR="003C29B7" w:rsidRPr="003C29B7" w:rsidTr="00D63D54">
        <w:trPr>
          <w:trHeight w:val="3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217.908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Cacc</w:t>
            </w:r>
            <w:r>
              <w:rPr>
                <w:rFonts w:eastAsia="Times New Roman" w:cs="Times New Roman"/>
                <w:color w:val="000000"/>
                <w:sz w:val="18"/>
                <w:szCs w:val="18"/>
                <w:lang w:eastAsia="it-IT"/>
              </w:rPr>
              <w:t>i</w:t>
            </w:r>
            <w:r w:rsidRPr="003C29B7">
              <w:rPr>
                <w:rFonts w:eastAsia="Times New Roman" w:cs="Times New Roman"/>
                <w:color w:val="000000"/>
                <w:sz w:val="18"/>
                <w:szCs w:val="18"/>
                <w:lang w:eastAsia="it-IT"/>
              </w:rPr>
              <w:t>e principesche</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Villa D'Este</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Tivoli (RM)</w:t>
            </w:r>
          </w:p>
        </w:tc>
        <w:tc>
          <w:tcPr>
            <w:tcW w:w="775" w:type="dxa"/>
            <w:tcBorders>
              <w:top w:val="nil"/>
              <w:left w:val="nil"/>
              <w:bottom w:val="nil"/>
              <w:right w:val="nil"/>
            </w:tcBorders>
            <w:shd w:val="clear" w:color="000000" w:fill="FFFFFF"/>
            <w:noWrap/>
            <w:vAlign w:val="bottom"/>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978.358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New order: arte inglese oggi</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29B7" w:rsidRPr="003C29B7" w:rsidRDefault="003C29B7" w:rsidP="003C29B7">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Saatchi Gallery</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3C29B7" w:rsidRPr="003C29B7" w:rsidRDefault="003C29B7" w:rsidP="003C29B7">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Londra</w:t>
            </w:r>
          </w:p>
        </w:tc>
      </w:tr>
      <w:tr w:rsidR="004C5A1D"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189.319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Modigliani</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Palazzo Reale</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Milano</w:t>
            </w:r>
          </w:p>
        </w:tc>
        <w:tc>
          <w:tcPr>
            <w:tcW w:w="775" w:type="dxa"/>
            <w:tcBorders>
              <w:top w:val="nil"/>
              <w:left w:val="nil"/>
              <w:bottom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939.547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Il cilindro di Ciro e la Persia antica</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Freer and Sackler Galleries</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Washington</w:t>
            </w:r>
          </w:p>
        </w:tc>
      </w:tr>
      <w:tr w:rsidR="004C5A1D" w:rsidRPr="003C29B7" w:rsidTr="00D63D54">
        <w:trPr>
          <w:trHeight w:val="3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180.236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Manet. Ritorno a Venezia</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Palazzo Ducale</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Venezia</w:t>
            </w:r>
          </w:p>
        </w:tc>
        <w:tc>
          <w:tcPr>
            <w:tcW w:w="775" w:type="dxa"/>
            <w:tcBorders>
              <w:top w:val="nil"/>
              <w:left w:val="nil"/>
              <w:bottom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921.130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La scuola di pittura di Lignan</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National Palace Museum</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Taipei</w:t>
            </w:r>
          </w:p>
        </w:tc>
      </w:tr>
      <w:tr w:rsidR="004C5A1D"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163.776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VI Triennale Design Museum</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Triennale Design Museum</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Milano</w:t>
            </w:r>
          </w:p>
        </w:tc>
        <w:tc>
          <w:tcPr>
            <w:tcW w:w="775" w:type="dxa"/>
            <w:tcBorders>
              <w:top w:val="nil"/>
              <w:left w:val="nil"/>
              <w:bottom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895.367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La collezione Guggenheim III</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Guggenheim</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Bilbao</w:t>
            </w:r>
          </w:p>
        </w:tc>
      </w:tr>
      <w:tr w:rsidR="004C5A1D"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161.269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Emilio Isgrò: l'ora italiana</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Gallerie d'Italia - Piazza Scola</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Milano</w:t>
            </w:r>
          </w:p>
        </w:tc>
        <w:tc>
          <w:tcPr>
            <w:tcW w:w="775" w:type="dxa"/>
            <w:tcBorders>
              <w:top w:val="nil"/>
              <w:left w:val="nil"/>
              <w:bottom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821.587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La gaiezza è la miglior qualità…</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Saatchi Gallery</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Londra</w:t>
            </w:r>
          </w:p>
        </w:tc>
      </w:tr>
      <w:tr w:rsidR="004C5A1D"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160.758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val="en-US" w:eastAsia="it-IT"/>
              </w:rPr>
            </w:pPr>
            <w:r w:rsidRPr="003C29B7">
              <w:rPr>
                <w:rFonts w:eastAsia="Times New Roman" w:cs="Times New Roman"/>
                <w:color w:val="000000"/>
                <w:sz w:val="18"/>
                <w:szCs w:val="18"/>
                <w:lang w:val="en-US" w:eastAsia="it-IT"/>
              </w:rPr>
              <w:t>Robert Doisneau. Paris en liberté</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Palazzo delle Esposizioni</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Roma</w:t>
            </w:r>
          </w:p>
        </w:tc>
        <w:tc>
          <w:tcPr>
            <w:tcW w:w="775" w:type="dxa"/>
            <w:tcBorders>
              <w:top w:val="nil"/>
              <w:left w:val="nil"/>
              <w:bottom w:val="nil"/>
              <w:right w:val="nil"/>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790.090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Dalì</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Centre Pompidou</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Parigi</w:t>
            </w:r>
          </w:p>
        </w:tc>
      </w:tr>
      <w:tr w:rsidR="004C5A1D" w:rsidRPr="003C29B7" w:rsidTr="00D63D54">
        <w:trPr>
          <w:trHeight w:val="6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158.858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Il colore come forma plastica</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Gallerie d'Italia - Piazza Scola</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Milano</w:t>
            </w:r>
          </w:p>
        </w:tc>
        <w:tc>
          <w:tcPr>
            <w:tcW w:w="775" w:type="dxa"/>
            <w:tcBorders>
              <w:top w:val="nil"/>
              <w:left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758.000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val="en-US" w:eastAsia="it-IT"/>
              </w:rPr>
            </w:pPr>
            <w:r w:rsidRPr="003C29B7">
              <w:rPr>
                <w:rFonts w:eastAsia="Times New Roman" w:cs="Times New Roman"/>
                <w:color w:val="000000"/>
                <w:sz w:val="18"/>
                <w:szCs w:val="18"/>
                <w:lang w:val="en-US" w:eastAsia="it-IT"/>
              </w:rPr>
              <w:t>Nam June Paik: Global Visionary</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Smithsonian American Art Museum</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Washington</w:t>
            </w:r>
          </w:p>
        </w:tc>
      </w:tr>
      <w:tr w:rsidR="004C5A1D" w:rsidRPr="003C29B7" w:rsidTr="00D63D54">
        <w:trPr>
          <w:trHeight w:val="300"/>
        </w:trPr>
        <w:tc>
          <w:tcPr>
            <w:tcW w:w="993"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157.097 </w:t>
            </w:r>
          </w:p>
        </w:tc>
        <w:tc>
          <w:tcPr>
            <w:tcW w:w="18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Giuseppe De Nittis</w:t>
            </w:r>
          </w:p>
        </w:tc>
        <w:tc>
          <w:tcPr>
            <w:tcW w:w="11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Palazzo Zabarella</w:t>
            </w:r>
          </w:p>
        </w:tc>
        <w:tc>
          <w:tcPr>
            <w:tcW w:w="715"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Padova</w:t>
            </w:r>
          </w:p>
        </w:tc>
        <w:tc>
          <w:tcPr>
            <w:tcW w:w="775" w:type="dxa"/>
            <w:tcBorders>
              <w:top w:val="nil"/>
              <w:left w:val="nil"/>
              <w:right w:val="nil"/>
            </w:tcBorders>
            <w:shd w:val="clear" w:color="000000" w:fill="FFFFFF"/>
            <w:noWrap/>
            <w:vAlign w:val="bottom"/>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w:t>
            </w:r>
          </w:p>
        </w:tc>
        <w:tc>
          <w:tcPr>
            <w:tcW w:w="870" w:type="dxa"/>
            <w:tcBorders>
              <w:top w:val="single" w:sz="4" w:space="0" w:color="auto"/>
              <w:left w:val="nil"/>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 xml:space="preserve">732.339 </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Dalì</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A1D" w:rsidRPr="003C29B7" w:rsidRDefault="004C5A1D" w:rsidP="004C5A1D">
            <w:pPr>
              <w:spacing w:after="0" w:line="240" w:lineRule="auto"/>
              <w:rPr>
                <w:rFonts w:eastAsia="Times New Roman" w:cs="Times New Roman"/>
                <w:color w:val="000000"/>
                <w:sz w:val="18"/>
                <w:szCs w:val="18"/>
                <w:lang w:eastAsia="it-IT"/>
              </w:rPr>
            </w:pPr>
            <w:r w:rsidRPr="003C29B7">
              <w:rPr>
                <w:rFonts w:eastAsia="Times New Roman" w:cs="Times New Roman"/>
                <w:color w:val="000000"/>
                <w:sz w:val="18"/>
                <w:szCs w:val="18"/>
                <w:lang w:eastAsia="it-IT"/>
              </w:rPr>
              <w:t>Reina Sofia</w:t>
            </w:r>
          </w:p>
        </w:tc>
        <w:tc>
          <w:tcPr>
            <w:tcW w:w="1108" w:type="dxa"/>
            <w:tcBorders>
              <w:top w:val="single" w:sz="4" w:space="0" w:color="auto"/>
              <w:left w:val="single" w:sz="4" w:space="0" w:color="auto"/>
              <w:bottom w:val="single" w:sz="4" w:space="0" w:color="auto"/>
              <w:right w:val="nil"/>
            </w:tcBorders>
            <w:shd w:val="clear" w:color="000000" w:fill="FFFFFF"/>
            <w:noWrap/>
            <w:vAlign w:val="center"/>
            <w:hideMark/>
          </w:tcPr>
          <w:p w:rsidR="004C5A1D" w:rsidRPr="003C29B7" w:rsidRDefault="004C5A1D" w:rsidP="004C5A1D">
            <w:pPr>
              <w:spacing w:after="0" w:line="240" w:lineRule="auto"/>
              <w:jc w:val="center"/>
              <w:rPr>
                <w:rFonts w:eastAsia="Times New Roman" w:cs="Times New Roman"/>
                <w:color w:val="000000"/>
                <w:sz w:val="18"/>
                <w:szCs w:val="18"/>
                <w:lang w:eastAsia="it-IT"/>
              </w:rPr>
            </w:pPr>
            <w:r w:rsidRPr="003C29B7">
              <w:rPr>
                <w:rFonts w:eastAsia="Times New Roman" w:cs="Times New Roman"/>
                <w:color w:val="000000"/>
                <w:sz w:val="18"/>
                <w:szCs w:val="18"/>
                <w:lang w:eastAsia="it-IT"/>
              </w:rPr>
              <w:t>Madrid</w:t>
            </w:r>
          </w:p>
        </w:tc>
      </w:tr>
    </w:tbl>
    <w:p w:rsidR="00E820A4" w:rsidRDefault="00E820A4" w:rsidP="00455266">
      <w:pPr>
        <w:rPr>
          <w:b/>
          <w:sz w:val="32"/>
          <w:szCs w:val="32"/>
        </w:rPr>
      </w:pPr>
    </w:p>
    <w:p w:rsidR="00E820A4" w:rsidRDefault="00E820A4">
      <w:pPr>
        <w:rPr>
          <w:b/>
          <w:sz w:val="32"/>
          <w:szCs w:val="32"/>
        </w:rPr>
      </w:pPr>
      <w:r>
        <w:rPr>
          <w:b/>
          <w:sz w:val="32"/>
          <w:szCs w:val="32"/>
        </w:rPr>
        <w:br w:type="page"/>
      </w:r>
    </w:p>
    <w:p w:rsidR="00455266" w:rsidRPr="000937DF" w:rsidRDefault="00455266" w:rsidP="00E820A4">
      <w:pPr>
        <w:pStyle w:val="Paragrafoelenco"/>
        <w:numPr>
          <w:ilvl w:val="0"/>
          <w:numId w:val="7"/>
        </w:numPr>
        <w:rPr>
          <w:b/>
          <w:sz w:val="28"/>
          <w:szCs w:val="32"/>
        </w:rPr>
      </w:pPr>
      <w:r w:rsidRPr="000937DF">
        <w:rPr>
          <w:b/>
          <w:sz w:val="28"/>
          <w:szCs w:val="32"/>
        </w:rPr>
        <w:lastRenderedPageBreak/>
        <w:t>L’export</w:t>
      </w:r>
      <w:r w:rsidR="00A35C54">
        <w:rPr>
          <w:b/>
          <w:sz w:val="28"/>
          <w:szCs w:val="32"/>
        </w:rPr>
        <w:t xml:space="preserve"> di beni creativi</w:t>
      </w:r>
    </w:p>
    <w:p w:rsidR="00455266" w:rsidRDefault="00C96CC5" w:rsidP="00E820A4">
      <w:pPr>
        <w:spacing w:before="240" w:after="0" w:line="276" w:lineRule="auto"/>
        <w:jc w:val="both"/>
      </w:pPr>
      <w:r>
        <w:t xml:space="preserve">Pure in anni di crisi internazionale l’Italia rimane leader nell’esportazione di beni creativi, settore che rappresenta il </w:t>
      </w:r>
      <w:r w:rsidR="00455266">
        <w:t>circa il 9% del nostro export totale</w:t>
      </w:r>
      <w:r>
        <w:t>.</w:t>
      </w:r>
    </w:p>
    <w:p w:rsidR="00455266" w:rsidRDefault="00455266" w:rsidP="000A1B16">
      <w:pPr>
        <w:spacing w:before="120" w:after="0" w:line="276" w:lineRule="auto"/>
        <w:jc w:val="both"/>
      </w:pPr>
      <w:r w:rsidRPr="00F53234">
        <w:rPr>
          <w:b/>
        </w:rPr>
        <w:t>Il valore delle esportazioni di beni creativi dell’Italia è di 27,3 miliardi di dollari</w:t>
      </w:r>
      <w:r>
        <w:t xml:space="preserve"> (dati 2011</w:t>
      </w:r>
      <w:r w:rsidR="00F53234">
        <w:t xml:space="preserve">, ultima rilevazione </w:t>
      </w:r>
      <w:r w:rsidR="005D6032">
        <w:t>UNCTAD</w:t>
      </w:r>
      <w:r>
        <w:t xml:space="preserve">), </w:t>
      </w:r>
      <w:r w:rsidRPr="00F53234">
        <w:rPr>
          <w:b/>
        </w:rPr>
        <w:t>valore cresciuto del 17% rispetto all’anno precedente e del 65% rispetto al 2002</w:t>
      </w:r>
      <w:r w:rsidR="00F53234">
        <w:rPr>
          <w:b/>
        </w:rPr>
        <w:t>.</w:t>
      </w:r>
    </w:p>
    <w:p w:rsidR="00455266" w:rsidRDefault="00455266" w:rsidP="000A1B16">
      <w:pPr>
        <w:spacing w:before="120" w:after="0" w:line="276" w:lineRule="auto"/>
        <w:jc w:val="both"/>
      </w:pPr>
      <w:r>
        <w:t>La crescita è significativa e su base annua superiore a quella dell’Europa (13,9%) e dell’export di beni creativi a livello mondiale (15,9%), ma nel decennio l’Italia ha visto crescere le sue esportazioni meno delle altre aree considerate</w:t>
      </w:r>
      <w:r w:rsidR="00F53234">
        <w:t>.</w:t>
      </w:r>
      <w:r>
        <w:t xml:space="preserve"> Tra 2002 e 2011 infatti a livello mondo l’export è cresciuto del 129%, nell’Unione Europea del 84,5%% e tra i paesi del G8 del 75,5%</w:t>
      </w:r>
    </w:p>
    <w:p w:rsidR="00455266" w:rsidRDefault="00455266" w:rsidP="000A1B16">
      <w:pPr>
        <w:spacing w:before="120" w:after="0" w:line="276" w:lineRule="auto"/>
        <w:jc w:val="both"/>
      </w:pPr>
      <w:r>
        <w:t xml:space="preserve">La crescita </w:t>
      </w:r>
      <w:r w:rsidR="00F53234">
        <w:t xml:space="preserve">limitata </w:t>
      </w:r>
      <w:r>
        <w:t xml:space="preserve">dell’Italia è mostrata anche dal fatto che </w:t>
      </w:r>
      <w:r w:rsidRPr="00F53234">
        <w:rPr>
          <w:b/>
        </w:rPr>
        <w:t>nel 2002 la nostra quota di export di beni creativi rispetto al commercio mondiale era dell’8%, mentre oggi è del 6%, quella sull’Unione Europ</w:t>
      </w:r>
      <w:r w:rsidR="00F53234" w:rsidRPr="00F53234">
        <w:rPr>
          <w:b/>
        </w:rPr>
        <w:t>ea era del 19%; oggi è del 17%</w:t>
      </w:r>
      <w:r w:rsidR="00F53234">
        <w:t>.</w:t>
      </w:r>
    </w:p>
    <w:p w:rsidR="00F53234" w:rsidRPr="00F53234" w:rsidRDefault="00F53234" w:rsidP="00E820A4">
      <w:pPr>
        <w:spacing w:before="240" w:after="0" w:line="276" w:lineRule="auto"/>
        <w:ind w:left="68"/>
        <w:jc w:val="center"/>
        <w:rPr>
          <w:b/>
          <w:sz w:val="20"/>
          <w:szCs w:val="20"/>
        </w:rPr>
      </w:pPr>
      <w:r w:rsidRPr="00F53234">
        <w:rPr>
          <w:b/>
          <w:sz w:val="20"/>
          <w:szCs w:val="20"/>
        </w:rPr>
        <w:t>Esportazioni di beni creativi - quota di mercato dell'Italia rispetto alle altre economie</w:t>
      </w:r>
    </w:p>
    <w:p w:rsidR="00455266" w:rsidRDefault="00F53234" w:rsidP="00F53234">
      <w:pPr>
        <w:spacing w:after="0" w:line="276" w:lineRule="auto"/>
        <w:ind w:left="68"/>
        <w:jc w:val="center"/>
      </w:pPr>
      <w:r>
        <w:rPr>
          <w:noProof/>
          <w:lang w:eastAsia="it-IT"/>
        </w:rPr>
        <w:drawing>
          <wp:inline distT="0" distB="0" distL="0" distR="0" wp14:anchorId="0B129675" wp14:editId="20694AB9">
            <wp:extent cx="3686175" cy="1981200"/>
            <wp:effectExtent l="0" t="0" r="9525" b="0"/>
            <wp:docPr id="6" name="Gra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53234" w:rsidRPr="000A1B16" w:rsidRDefault="00F53234" w:rsidP="00F53234">
      <w:pPr>
        <w:spacing w:after="0" w:line="240" w:lineRule="auto"/>
        <w:jc w:val="center"/>
        <w:rPr>
          <w:rFonts w:ascii="Calibri" w:eastAsia="Times New Roman" w:hAnsi="Calibri" w:cs="Times New Roman"/>
          <w:color w:val="000000"/>
          <w:sz w:val="18"/>
          <w:szCs w:val="18"/>
          <w:lang w:eastAsia="it-IT"/>
        </w:rPr>
      </w:pPr>
      <w:r w:rsidRPr="00F53234">
        <w:rPr>
          <w:rFonts w:ascii="Calibri" w:eastAsia="Times New Roman" w:hAnsi="Calibri" w:cs="Times New Roman"/>
          <w:color w:val="000000"/>
          <w:sz w:val="18"/>
          <w:szCs w:val="18"/>
          <w:lang w:eastAsia="it-IT"/>
        </w:rPr>
        <w:t>FONTE: elaborazioni Federculture su dati UNCTAD STAT</w:t>
      </w:r>
    </w:p>
    <w:p w:rsidR="00455266" w:rsidRDefault="00455266" w:rsidP="00E820A4">
      <w:pPr>
        <w:pBdr>
          <w:top w:val="single" w:sz="4" w:space="3" w:color="auto"/>
          <w:left w:val="single" w:sz="4" w:space="4" w:color="auto"/>
          <w:bottom w:val="single" w:sz="4" w:space="3" w:color="auto"/>
          <w:right w:val="single" w:sz="4" w:space="4" w:color="auto"/>
        </w:pBdr>
        <w:shd w:val="clear" w:color="auto" w:fill="FFFFCC"/>
        <w:spacing w:before="600" w:after="0" w:line="276" w:lineRule="auto"/>
        <w:jc w:val="both"/>
      </w:pPr>
      <w:r w:rsidRPr="00F53234">
        <w:rPr>
          <w:b/>
        </w:rPr>
        <w:t>Siamo comunque sempre il 5° paese esportatore di beni creativi al mondo</w:t>
      </w:r>
      <w:r>
        <w:t xml:space="preserve"> dopo Cina, Stati Uniti e Germania e </w:t>
      </w:r>
      <w:r w:rsidRPr="00F53234">
        <w:rPr>
          <w:b/>
        </w:rPr>
        <w:t xml:space="preserve">leader nelle esportazioni di prodotti di design per i quali siamo al primo posto tra le economie del G8 e al </w:t>
      </w:r>
      <w:r w:rsidR="00F53234">
        <w:rPr>
          <w:b/>
        </w:rPr>
        <w:t>2</w:t>
      </w:r>
      <w:r w:rsidRPr="00F53234">
        <w:rPr>
          <w:b/>
        </w:rPr>
        <w:t>° tra quelle del G20</w:t>
      </w:r>
      <w:r w:rsidR="00F53234">
        <w:t>.</w:t>
      </w:r>
    </w:p>
    <w:p w:rsidR="00455266" w:rsidRDefault="00455266" w:rsidP="00E820A4">
      <w:pPr>
        <w:spacing w:before="360" w:after="0" w:line="276" w:lineRule="auto"/>
      </w:pPr>
      <w:r>
        <w:t xml:space="preserve">Il </w:t>
      </w:r>
      <w:r w:rsidRPr="00F53234">
        <w:rPr>
          <w:b/>
        </w:rPr>
        <w:t>design</w:t>
      </w:r>
      <w:r>
        <w:t xml:space="preserve"> in particolare con un volume di esportazioni per </w:t>
      </w:r>
      <w:r w:rsidRPr="004C5A1D">
        <w:rPr>
          <w:b/>
        </w:rPr>
        <w:t>23,5 miliardi di dollari</w:t>
      </w:r>
      <w:r>
        <w:t xml:space="preserve"> rappresenta l’86%</w:t>
      </w:r>
      <w:r w:rsidR="004C5A1D">
        <w:t xml:space="preserve"> delle nostre esportazioni di be</w:t>
      </w:r>
      <w:r>
        <w:t>ni creativi.</w:t>
      </w:r>
    </w:p>
    <w:p w:rsidR="00E820A4" w:rsidRDefault="00E820A4">
      <w:r>
        <w:br w:type="page"/>
      </w:r>
    </w:p>
    <w:p w:rsidR="00BD7A6C" w:rsidRDefault="00BD7A6C" w:rsidP="00BD7A6C">
      <w:pPr>
        <w:spacing w:after="0" w:line="276" w:lineRule="auto"/>
      </w:pPr>
    </w:p>
    <w:tbl>
      <w:tblPr>
        <w:tblW w:w="9144" w:type="dxa"/>
        <w:tblCellMar>
          <w:left w:w="70" w:type="dxa"/>
          <w:right w:w="70" w:type="dxa"/>
        </w:tblCellMar>
        <w:tblLook w:val="04A0" w:firstRow="1" w:lastRow="0" w:firstColumn="1" w:lastColumn="0" w:noHBand="0" w:noVBand="1"/>
      </w:tblPr>
      <w:tblGrid>
        <w:gridCol w:w="1713"/>
        <w:gridCol w:w="72"/>
        <w:gridCol w:w="1714"/>
        <w:gridCol w:w="940"/>
        <w:gridCol w:w="343"/>
        <w:gridCol w:w="2038"/>
        <w:gridCol w:w="2324"/>
      </w:tblGrid>
      <w:tr w:rsidR="00F53234" w:rsidRPr="00F53234" w:rsidTr="004C5A1D">
        <w:trPr>
          <w:trHeight w:val="327"/>
        </w:trPr>
        <w:tc>
          <w:tcPr>
            <w:tcW w:w="3499" w:type="dxa"/>
            <w:gridSpan w:val="3"/>
            <w:tcBorders>
              <w:top w:val="single" w:sz="4" w:space="0" w:color="auto"/>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jc w:val="center"/>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l'Italia nel G8 - DESIGN</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4705" w:type="dxa"/>
            <w:gridSpan w:val="3"/>
            <w:tcBorders>
              <w:top w:val="single" w:sz="4" w:space="0" w:color="auto"/>
              <w:left w:val="nil"/>
              <w:bottom w:val="single" w:sz="4" w:space="0" w:color="auto"/>
              <w:right w:val="nil"/>
            </w:tcBorders>
            <w:shd w:val="clear" w:color="000000" w:fill="FFFFFF"/>
            <w:vAlign w:val="bottom"/>
            <w:hideMark/>
          </w:tcPr>
          <w:p w:rsidR="00F53234" w:rsidRPr="00F53234" w:rsidRDefault="00F53234" w:rsidP="00F53234">
            <w:pPr>
              <w:spacing w:after="0" w:line="240" w:lineRule="auto"/>
              <w:jc w:val="center"/>
              <w:rPr>
                <w:rFonts w:ascii="Calibri" w:eastAsia="Times New Roman" w:hAnsi="Calibri" w:cs="Times New Roman"/>
                <w:b/>
                <w:bCs/>
                <w:color w:val="000000"/>
                <w:sz w:val="20"/>
                <w:szCs w:val="20"/>
                <w:lang w:eastAsia="it-IT"/>
              </w:rPr>
            </w:pPr>
            <w:r>
              <w:rPr>
                <w:rFonts w:ascii="Calibri" w:eastAsia="Times New Roman" w:hAnsi="Calibri" w:cs="Times New Roman"/>
                <w:b/>
                <w:bCs/>
                <w:color w:val="000000"/>
                <w:sz w:val="20"/>
                <w:szCs w:val="20"/>
                <w:lang w:eastAsia="it-IT"/>
              </w:rPr>
              <w:t>I principali paes</w:t>
            </w:r>
            <w:r w:rsidRPr="00F53234">
              <w:rPr>
                <w:rFonts w:ascii="Calibri" w:eastAsia="Times New Roman" w:hAnsi="Calibri" w:cs="Times New Roman"/>
                <w:b/>
                <w:bCs/>
                <w:color w:val="000000"/>
                <w:sz w:val="20"/>
                <w:szCs w:val="20"/>
                <w:lang w:eastAsia="it-IT"/>
              </w:rPr>
              <w:t>i esportatori di beni creativi al mondo</w:t>
            </w:r>
          </w:p>
        </w:tc>
      </w:tr>
      <w:tr w:rsidR="00F53234" w:rsidRPr="00F53234" w:rsidTr="004C5A1D">
        <w:trPr>
          <w:trHeight w:val="300"/>
        </w:trPr>
        <w:tc>
          <w:tcPr>
            <w:tcW w:w="1713" w:type="dxa"/>
            <w:tcBorders>
              <w:top w:val="nil"/>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 </w:t>
            </w:r>
          </w:p>
        </w:tc>
        <w:tc>
          <w:tcPr>
            <w:tcW w:w="1786" w:type="dxa"/>
            <w:gridSpan w:val="2"/>
            <w:tcBorders>
              <w:top w:val="nil"/>
              <w:left w:val="nil"/>
              <w:bottom w:val="single" w:sz="4" w:space="0" w:color="auto"/>
              <w:right w:val="nil"/>
            </w:tcBorders>
            <w:shd w:val="clear" w:color="000000" w:fill="FFFFFF"/>
            <w:noWrap/>
            <w:vAlign w:val="center"/>
            <w:hideMark/>
          </w:tcPr>
          <w:p w:rsidR="00F53234" w:rsidRPr="00F53234" w:rsidRDefault="00F53234" w:rsidP="00F53234">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 xml:space="preserve">US Dollars </w:t>
            </w:r>
            <w:r w:rsidR="000A1B16">
              <w:rPr>
                <w:rFonts w:ascii="Calibri" w:eastAsia="Times New Roman" w:hAnsi="Calibri" w:cs="Times New Roman"/>
                <w:b/>
                <w:bCs/>
                <w:sz w:val="20"/>
                <w:szCs w:val="20"/>
                <w:lang w:eastAsia="it-IT"/>
              </w:rPr>
              <w:t>(</w:t>
            </w:r>
            <w:r w:rsidRPr="00F53234">
              <w:rPr>
                <w:rFonts w:ascii="Calibri" w:eastAsia="Times New Roman" w:hAnsi="Calibri" w:cs="Times New Roman"/>
                <w:b/>
                <w:bCs/>
                <w:sz w:val="20"/>
                <w:szCs w:val="20"/>
                <w:lang w:eastAsia="it-IT"/>
              </w:rPr>
              <w:t>milioni)</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2038" w:type="dxa"/>
            <w:tcBorders>
              <w:top w:val="nil"/>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jc w:val="center"/>
              <w:rPr>
                <w:rFonts w:ascii="Calibri" w:eastAsia="Times New Roman" w:hAnsi="Calibri" w:cs="Times New Roman"/>
                <w:b/>
                <w:bCs/>
                <w:color w:val="000000"/>
                <w:sz w:val="20"/>
                <w:szCs w:val="20"/>
                <w:lang w:eastAsia="it-IT"/>
              </w:rPr>
            </w:pPr>
            <w:r w:rsidRPr="00F53234">
              <w:rPr>
                <w:rFonts w:ascii="Calibri" w:eastAsia="Times New Roman" w:hAnsi="Calibri" w:cs="Times New Roman"/>
                <w:b/>
                <w:bCs/>
                <w:color w:val="000000"/>
                <w:sz w:val="20"/>
                <w:szCs w:val="20"/>
                <w:lang w:eastAsia="it-IT"/>
              </w:rPr>
              <w:t>Individual economies</w:t>
            </w:r>
          </w:p>
        </w:tc>
        <w:tc>
          <w:tcPr>
            <w:tcW w:w="2324" w:type="dxa"/>
            <w:tcBorders>
              <w:top w:val="nil"/>
              <w:left w:val="nil"/>
              <w:bottom w:val="single" w:sz="4" w:space="0" w:color="auto"/>
              <w:right w:val="nil"/>
            </w:tcBorders>
            <w:shd w:val="clear" w:color="000000" w:fill="FFFFFF"/>
            <w:noWrap/>
            <w:vAlign w:val="center"/>
            <w:hideMark/>
          </w:tcPr>
          <w:p w:rsidR="00F53234" w:rsidRPr="00F53234" w:rsidRDefault="00F53234" w:rsidP="00F53234">
            <w:pPr>
              <w:spacing w:after="0" w:line="240" w:lineRule="auto"/>
              <w:jc w:val="right"/>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US Dollars (milioni)</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Italy</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23.557</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China</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125.646</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Germany</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15.874</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2</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United States</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34.376</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United Stated</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14.209</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3</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Germany</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31.216</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France</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13.197</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4</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China, Hong Kong SAR</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31.197</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United Kingdom</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7.978</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5</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Italy</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27.308</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Japan</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4.261</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6</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India</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22.094</w:t>
            </w:r>
          </w:p>
        </w:tc>
      </w:tr>
      <w:tr w:rsidR="00F53234" w:rsidRPr="00F53234" w:rsidTr="004C5A1D">
        <w:trPr>
          <w:trHeight w:val="300"/>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Canada</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2.083</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7</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United Kingdom</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19.694</w:t>
            </w:r>
          </w:p>
        </w:tc>
      </w:tr>
      <w:tr w:rsidR="00F53234" w:rsidRPr="00F53234" w:rsidTr="004C5A1D">
        <w:trPr>
          <w:trHeight w:val="300"/>
        </w:trPr>
        <w:tc>
          <w:tcPr>
            <w:tcW w:w="1713" w:type="dxa"/>
            <w:tcBorders>
              <w:top w:val="nil"/>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Russian Federation</w:t>
            </w:r>
          </w:p>
        </w:tc>
        <w:tc>
          <w:tcPr>
            <w:tcW w:w="1786" w:type="dxa"/>
            <w:gridSpan w:val="2"/>
            <w:tcBorders>
              <w:top w:val="nil"/>
              <w:left w:val="nil"/>
              <w:bottom w:val="single" w:sz="4" w:space="0" w:color="auto"/>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194</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8</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France</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19.135</w:t>
            </w:r>
          </w:p>
        </w:tc>
      </w:tr>
      <w:tr w:rsidR="00F53234" w:rsidRPr="00F53234" w:rsidTr="004C5A1D">
        <w:trPr>
          <w:trHeight w:val="351"/>
        </w:trPr>
        <w:tc>
          <w:tcPr>
            <w:tcW w:w="171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1786" w:type="dxa"/>
            <w:gridSpan w:val="2"/>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940"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9</w:t>
            </w:r>
          </w:p>
        </w:tc>
        <w:tc>
          <w:tcPr>
            <w:tcW w:w="2038"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Switzerland</w:t>
            </w:r>
          </w:p>
        </w:tc>
        <w:tc>
          <w:tcPr>
            <w:tcW w:w="2324" w:type="dxa"/>
            <w:tcBorders>
              <w:top w:val="nil"/>
              <w:left w:val="nil"/>
              <w:bottom w:val="nil"/>
              <w:right w:val="nil"/>
            </w:tcBorders>
            <w:shd w:val="clear" w:color="000000" w:fill="FFFFFF"/>
            <w:noWrap/>
            <w:vAlign w:val="bottom"/>
            <w:hideMark/>
          </w:tcPr>
          <w:p w:rsidR="00F53234" w:rsidRPr="00F53234" w:rsidRDefault="00F53234"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12.680</w:t>
            </w:r>
          </w:p>
        </w:tc>
      </w:tr>
      <w:tr w:rsidR="000A1B16" w:rsidRPr="00F53234" w:rsidTr="004C5A1D">
        <w:trPr>
          <w:trHeight w:val="300"/>
        </w:trPr>
        <w:tc>
          <w:tcPr>
            <w:tcW w:w="3499" w:type="dxa"/>
            <w:gridSpan w:val="3"/>
            <w:tcBorders>
              <w:top w:val="single" w:sz="4" w:space="0" w:color="auto"/>
              <w:left w:val="nil"/>
              <w:bottom w:val="single" w:sz="4" w:space="0" w:color="auto"/>
              <w:right w:val="nil"/>
            </w:tcBorders>
            <w:shd w:val="clear" w:color="000000" w:fill="FFFFFF"/>
            <w:noWrap/>
            <w:vAlign w:val="bottom"/>
            <w:hideMark/>
          </w:tcPr>
          <w:p w:rsidR="000A1B16" w:rsidRPr="00F53234" w:rsidRDefault="000A1B16" w:rsidP="000A1B16">
            <w:pPr>
              <w:spacing w:after="0" w:line="240" w:lineRule="auto"/>
              <w:jc w:val="center"/>
              <w:rPr>
                <w:rFonts w:ascii="Calibri" w:eastAsia="Times New Roman" w:hAnsi="Calibri" w:cs="Times New Roman"/>
                <w:color w:val="000000"/>
                <w:sz w:val="20"/>
                <w:szCs w:val="20"/>
                <w:lang w:eastAsia="it-IT"/>
              </w:rPr>
            </w:pPr>
            <w:r w:rsidRPr="00F53234">
              <w:rPr>
                <w:rFonts w:ascii="Calibri" w:eastAsia="Times New Roman" w:hAnsi="Calibri" w:cs="Times New Roman"/>
                <w:b/>
                <w:bCs/>
                <w:sz w:val="20"/>
                <w:szCs w:val="20"/>
                <w:lang w:eastAsia="it-IT"/>
              </w:rPr>
              <w:t>l'Italia nel G20 - DESIGN</w:t>
            </w:r>
          </w:p>
        </w:tc>
        <w:tc>
          <w:tcPr>
            <w:tcW w:w="940"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10</w:t>
            </w:r>
          </w:p>
        </w:tc>
        <w:tc>
          <w:tcPr>
            <w:tcW w:w="2038"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Netherlands</w:t>
            </w:r>
          </w:p>
        </w:tc>
        <w:tc>
          <w:tcPr>
            <w:tcW w:w="2324"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8.932</w:t>
            </w:r>
          </w:p>
        </w:tc>
      </w:tr>
      <w:tr w:rsidR="000A1B16" w:rsidRPr="00F53234" w:rsidTr="004C5A1D">
        <w:trPr>
          <w:trHeight w:val="300"/>
        </w:trPr>
        <w:tc>
          <w:tcPr>
            <w:tcW w:w="1713" w:type="dxa"/>
            <w:tcBorders>
              <w:top w:val="nil"/>
              <w:left w:val="nil"/>
              <w:bottom w:val="single" w:sz="4" w:space="0" w:color="auto"/>
              <w:right w:val="nil"/>
            </w:tcBorders>
            <w:shd w:val="clear" w:color="000000" w:fill="FFFFFF"/>
            <w:noWrap/>
            <w:vAlign w:val="bottom"/>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b/>
                <w:bCs/>
                <w:sz w:val="20"/>
                <w:szCs w:val="20"/>
                <w:lang w:eastAsia="it-IT"/>
              </w:rPr>
              <w:t> </w:t>
            </w:r>
          </w:p>
        </w:tc>
        <w:tc>
          <w:tcPr>
            <w:tcW w:w="1786" w:type="dxa"/>
            <w:gridSpan w:val="2"/>
            <w:tcBorders>
              <w:top w:val="nil"/>
              <w:left w:val="nil"/>
              <w:bottom w:val="single" w:sz="4" w:space="0" w:color="auto"/>
              <w:right w:val="nil"/>
            </w:tcBorders>
            <w:shd w:val="clear" w:color="000000" w:fill="FFFFFF"/>
            <w:noWrap/>
            <w:vAlign w:val="center"/>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b/>
                <w:bCs/>
                <w:sz w:val="20"/>
                <w:szCs w:val="20"/>
                <w:lang w:eastAsia="it-IT"/>
              </w:rPr>
              <w:t>US Dollars (milioni)</w:t>
            </w:r>
          </w:p>
        </w:tc>
        <w:tc>
          <w:tcPr>
            <w:tcW w:w="940"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11</w:t>
            </w:r>
          </w:p>
        </w:tc>
        <w:tc>
          <w:tcPr>
            <w:tcW w:w="2038"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Belgium</w:t>
            </w:r>
          </w:p>
        </w:tc>
        <w:tc>
          <w:tcPr>
            <w:tcW w:w="2324" w:type="dxa"/>
            <w:tcBorders>
              <w:top w:val="nil"/>
              <w:left w:val="nil"/>
              <w:bottom w:val="nil"/>
              <w:right w:val="nil"/>
            </w:tcBorders>
            <w:shd w:val="clear" w:color="000000" w:fill="FFFFFF"/>
            <w:noWrap/>
            <w:vAlign w:val="bottom"/>
            <w:hideMark/>
          </w:tcPr>
          <w:p w:rsidR="000A1B16" w:rsidRPr="00F53234" w:rsidRDefault="000A1B16" w:rsidP="00F53234">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8.299</w:t>
            </w:r>
          </w:p>
        </w:tc>
      </w:tr>
      <w:tr w:rsidR="000A1B16" w:rsidRPr="00F53234" w:rsidTr="004C5A1D">
        <w:trPr>
          <w:trHeight w:val="300"/>
        </w:trPr>
        <w:tc>
          <w:tcPr>
            <w:tcW w:w="1785" w:type="dxa"/>
            <w:gridSpan w:val="2"/>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both"/>
              <w:rPr>
                <w:rFonts w:ascii="Calibri" w:eastAsia="Times New Roman" w:hAnsi="Calibri" w:cs="Times New Roman"/>
                <w:b/>
                <w:bCs/>
                <w:sz w:val="20"/>
                <w:szCs w:val="20"/>
                <w:lang w:eastAsia="it-IT"/>
              </w:rPr>
            </w:pPr>
            <w:r w:rsidRPr="00F53234">
              <w:rPr>
                <w:rFonts w:ascii="Calibri" w:eastAsia="Times New Roman" w:hAnsi="Calibri" w:cs="Times New Roman"/>
                <w:sz w:val="20"/>
                <w:szCs w:val="20"/>
                <w:lang w:eastAsia="it-IT"/>
              </w:rPr>
              <w:t>China</w:t>
            </w:r>
          </w:p>
        </w:tc>
        <w:tc>
          <w:tcPr>
            <w:tcW w:w="1714" w:type="dxa"/>
            <w:tcBorders>
              <w:top w:val="nil"/>
              <w:left w:val="nil"/>
              <w:bottom w:val="nil"/>
              <w:right w:val="nil"/>
            </w:tcBorders>
            <w:shd w:val="clear" w:color="000000" w:fill="FFFFFF"/>
            <w:vAlign w:val="bottom"/>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sz w:val="20"/>
                <w:szCs w:val="20"/>
                <w:lang w:eastAsia="it-IT"/>
              </w:rPr>
              <w:t>96.672</w:t>
            </w:r>
          </w:p>
        </w:tc>
        <w:tc>
          <w:tcPr>
            <w:tcW w:w="940" w:type="dxa"/>
            <w:tcBorders>
              <w:top w:val="nil"/>
              <w:left w:val="nil"/>
              <w:bottom w:val="nil"/>
              <w:right w:val="nil"/>
            </w:tcBorders>
            <w:shd w:val="clear" w:color="000000" w:fill="FFFFFF"/>
            <w:noWrap/>
            <w:vAlign w:val="bottom"/>
          </w:tcPr>
          <w:p w:rsidR="000A1B16" w:rsidRPr="00F53234" w:rsidRDefault="000A1B16" w:rsidP="000A1B16">
            <w:pPr>
              <w:spacing w:after="0" w:line="240" w:lineRule="auto"/>
              <w:jc w:val="both"/>
              <w:rPr>
                <w:rFonts w:ascii="Calibri" w:eastAsia="Times New Roman" w:hAnsi="Calibri" w:cs="Times New Roman"/>
                <w:color w:val="000000"/>
                <w:sz w:val="20"/>
                <w:szCs w:val="20"/>
                <w:lang w:eastAsia="it-IT"/>
              </w:rPr>
            </w:pPr>
          </w:p>
        </w:tc>
        <w:tc>
          <w:tcPr>
            <w:tcW w:w="343"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12</w:t>
            </w:r>
          </w:p>
        </w:tc>
        <w:tc>
          <w:tcPr>
            <w:tcW w:w="2038"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Singapore</w:t>
            </w:r>
          </w:p>
        </w:tc>
        <w:tc>
          <w:tcPr>
            <w:tcW w:w="2324"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7.282</w:t>
            </w:r>
          </w:p>
        </w:tc>
      </w:tr>
      <w:tr w:rsidR="000A1B16" w:rsidRPr="00F53234" w:rsidTr="004C5A1D">
        <w:trPr>
          <w:trHeight w:val="300"/>
        </w:trPr>
        <w:tc>
          <w:tcPr>
            <w:tcW w:w="1713"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Italy</w:t>
            </w:r>
          </w:p>
        </w:tc>
        <w:tc>
          <w:tcPr>
            <w:tcW w:w="1786" w:type="dxa"/>
            <w:gridSpan w:val="2"/>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b/>
                <w:bCs/>
                <w:sz w:val="20"/>
                <w:szCs w:val="20"/>
                <w:lang w:eastAsia="it-IT"/>
              </w:rPr>
            </w:pPr>
            <w:r w:rsidRPr="00F53234">
              <w:rPr>
                <w:rFonts w:ascii="Calibri" w:eastAsia="Times New Roman" w:hAnsi="Calibri" w:cs="Times New Roman"/>
                <w:b/>
                <w:bCs/>
                <w:sz w:val="20"/>
                <w:szCs w:val="20"/>
                <w:lang w:eastAsia="it-IT"/>
              </w:rPr>
              <w:t>23.557</w:t>
            </w:r>
          </w:p>
        </w:tc>
        <w:tc>
          <w:tcPr>
            <w:tcW w:w="940"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13</w:t>
            </w:r>
          </w:p>
        </w:tc>
        <w:tc>
          <w:tcPr>
            <w:tcW w:w="2038"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Canada</w:t>
            </w:r>
          </w:p>
        </w:tc>
        <w:tc>
          <w:tcPr>
            <w:tcW w:w="2324"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7.078</w:t>
            </w:r>
          </w:p>
        </w:tc>
      </w:tr>
      <w:tr w:rsidR="000A1B16" w:rsidRPr="00F53234" w:rsidTr="004C5A1D">
        <w:trPr>
          <w:trHeight w:val="360"/>
        </w:trPr>
        <w:tc>
          <w:tcPr>
            <w:tcW w:w="1713"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India</w:t>
            </w:r>
          </w:p>
        </w:tc>
        <w:tc>
          <w:tcPr>
            <w:tcW w:w="1786" w:type="dxa"/>
            <w:gridSpan w:val="2"/>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20.102</w:t>
            </w:r>
          </w:p>
        </w:tc>
        <w:tc>
          <w:tcPr>
            <w:tcW w:w="940" w:type="dxa"/>
            <w:tcBorders>
              <w:top w:val="nil"/>
              <w:left w:val="nil"/>
              <w:bottom w:val="nil"/>
              <w:right w:val="nil"/>
            </w:tcBorders>
            <w:shd w:val="clear" w:color="000000" w:fill="FFFFFF"/>
            <w:vAlign w:val="bottom"/>
            <w:hideMark/>
          </w:tcPr>
          <w:p w:rsidR="000A1B16" w:rsidRPr="00F53234" w:rsidRDefault="000A1B16" w:rsidP="000A1B16">
            <w:pPr>
              <w:spacing w:after="0" w:line="240" w:lineRule="auto"/>
              <w:rPr>
                <w:rFonts w:ascii="Calibri" w:eastAsia="Times New Roman" w:hAnsi="Calibri" w:cs="Times New Roman"/>
                <w:b/>
                <w:bCs/>
                <w:color w:val="333399"/>
                <w:sz w:val="20"/>
                <w:szCs w:val="20"/>
                <w:lang w:eastAsia="it-IT"/>
              </w:rPr>
            </w:pPr>
            <w:r w:rsidRPr="00F53234">
              <w:rPr>
                <w:rFonts w:ascii="Calibri" w:eastAsia="Times New Roman" w:hAnsi="Calibri" w:cs="Times New Roman"/>
                <w:b/>
                <w:bCs/>
                <w:color w:val="333399"/>
                <w:sz w:val="20"/>
                <w:szCs w:val="20"/>
                <w:lang w:eastAsia="it-IT"/>
              </w:rPr>
              <w:t> </w:t>
            </w:r>
          </w:p>
        </w:tc>
        <w:tc>
          <w:tcPr>
            <w:tcW w:w="343" w:type="dxa"/>
            <w:tcBorders>
              <w:top w:val="nil"/>
              <w:left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14</w:t>
            </w:r>
          </w:p>
        </w:tc>
        <w:tc>
          <w:tcPr>
            <w:tcW w:w="2038" w:type="dxa"/>
            <w:tcBorders>
              <w:top w:val="nil"/>
              <w:left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Japan</w:t>
            </w:r>
          </w:p>
        </w:tc>
        <w:tc>
          <w:tcPr>
            <w:tcW w:w="2324" w:type="dxa"/>
            <w:tcBorders>
              <w:top w:val="nil"/>
              <w:left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7.006</w:t>
            </w:r>
          </w:p>
        </w:tc>
      </w:tr>
      <w:tr w:rsidR="000A1B16" w:rsidRPr="00F53234" w:rsidTr="004C5A1D">
        <w:trPr>
          <w:trHeight w:val="300"/>
        </w:trPr>
        <w:tc>
          <w:tcPr>
            <w:tcW w:w="1713" w:type="dxa"/>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b/>
                <w:bCs/>
                <w:sz w:val="20"/>
                <w:szCs w:val="20"/>
                <w:lang w:eastAsia="it-IT"/>
              </w:rPr>
            </w:pPr>
            <w:r w:rsidRPr="00F53234">
              <w:rPr>
                <w:rFonts w:ascii="Calibri" w:eastAsia="Times New Roman" w:hAnsi="Calibri" w:cs="Times New Roman"/>
                <w:sz w:val="20"/>
                <w:szCs w:val="20"/>
                <w:lang w:eastAsia="it-IT"/>
              </w:rPr>
              <w:t>Germany</w:t>
            </w:r>
          </w:p>
        </w:tc>
        <w:tc>
          <w:tcPr>
            <w:tcW w:w="1786" w:type="dxa"/>
            <w:gridSpan w:val="2"/>
            <w:tcBorders>
              <w:top w:val="nil"/>
              <w:left w:val="nil"/>
              <w:bottom w:val="nil"/>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b/>
                <w:bCs/>
                <w:sz w:val="20"/>
                <w:szCs w:val="20"/>
                <w:lang w:eastAsia="it-IT"/>
              </w:rPr>
            </w:pPr>
            <w:r w:rsidRPr="00F53234">
              <w:rPr>
                <w:rFonts w:ascii="Calibri" w:eastAsia="Times New Roman" w:hAnsi="Calibri" w:cs="Times New Roman"/>
                <w:sz w:val="20"/>
                <w:szCs w:val="20"/>
                <w:lang w:eastAsia="it-IT"/>
              </w:rPr>
              <w:t>15.874</w:t>
            </w:r>
          </w:p>
        </w:tc>
        <w:tc>
          <w:tcPr>
            <w:tcW w:w="940" w:type="dxa"/>
            <w:tcBorders>
              <w:top w:val="nil"/>
              <w:left w:val="nil"/>
              <w:bottom w:val="nil"/>
              <w:right w:val="nil"/>
            </w:tcBorders>
            <w:shd w:val="clear" w:color="000000" w:fill="FFFFFF"/>
            <w:vAlign w:val="bottom"/>
            <w:hideMark/>
          </w:tcPr>
          <w:p w:rsidR="000A1B16" w:rsidRPr="00F53234" w:rsidRDefault="000A1B16" w:rsidP="000A1B16">
            <w:pPr>
              <w:spacing w:after="0" w:line="240" w:lineRule="auto"/>
              <w:rPr>
                <w:rFonts w:ascii="Calibri" w:eastAsia="Times New Roman" w:hAnsi="Calibri" w:cs="Times New Roman"/>
                <w:b/>
                <w:bCs/>
                <w:color w:val="333399"/>
                <w:sz w:val="20"/>
                <w:szCs w:val="20"/>
                <w:lang w:eastAsia="it-IT"/>
              </w:rPr>
            </w:pPr>
            <w:r w:rsidRPr="00F53234">
              <w:rPr>
                <w:rFonts w:ascii="Calibri" w:eastAsia="Times New Roman" w:hAnsi="Calibri" w:cs="Times New Roman"/>
                <w:b/>
                <w:bCs/>
                <w:color w:val="333399"/>
                <w:sz w:val="20"/>
                <w:szCs w:val="20"/>
                <w:lang w:eastAsia="it-IT"/>
              </w:rPr>
              <w:t> </w:t>
            </w:r>
          </w:p>
        </w:tc>
        <w:tc>
          <w:tcPr>
            <w:tcW w:w="343" w:type="dxa"/>
            <w:tcBorders>
              <w:top w:val="nil"/>
              <w:left w:val="nil"/>
              <w:bottom w:val="single" w:sz="4" w:space="0" w:color="auto"/>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15</w:t>
            </w:r>
          </w:p>
        </w:tc>
        <w:tc>
          <w:tcPr>
            <w:tcW w:w="2038" w:type="dxa"/>
            <w:tcBorders>
              <w:top w:val="nil"/>
              <w:left w:val="nil"/>
              <w:bottom w:val="single" w:sz="4" w:space="0" w:color="auto"/>
              <w:right w:val="nil"/>
            </w:tcBorders>
            <w:shd w:val="clear" w:color="000000" w:fill="FFFFFF"/>
            <w:noWrap/>
            <w:vAlign w:val="bottom"/>
            <w:hideMark/>
          </w:tcPr>
          <w:p w:rsidR="000A1B16" w:rsidRPr="00F53234" w:rsidRDefault="000A1B16"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Turkey</w:t>
            </w:r>
          </w:p>
        </w:tc>
        <w:tc>
          <w:tcPr>
            <w:tcW w:w="2324" w:type="dxa"/>
            <w:tcBorders>
              <w:top w:val="nil"/>
              <w:left w:val="nil"/>
              <w:bottom w:val="single" w:sz="4" w:space="0" w:color="auto"/>
              <w:right w:val="nil"/>
            </w:tcBorders>
            <w:shd w:val="clear" w:color="000000" w:fill="FFFFFF"/>
            <w:noWrap/>
            <w:vAlign w:val="bottom"/>
            <w:hideMark/>
          </w:tcPr>
          <w:p w:rsidR="000A1B16" w:rsidRPr="00F53234" w:rsidRDefault="000A1B16" w:rsidP="000A1B16">
            <w:pPr>
              <w:spacing w:after="0" w:line="240" w:lineRule="auto"/>
              <w:jc w:val="right"/>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6.428</w:t>
            </w:r>
          </w:p>
        </w:tc>
      </w:tr>
      <w:tr w:rsidR="004C5A1D" w:rsidRPr="00F53234" w:rsidTr="004C5A1D">
        <w:trPr>
          <w:trHeight w:val="225"/>
        </w:trPr>
        <w:tc>
          <w:tcPr>
            <w:tcW w:w="1713" w:type="dxa"/>
            <w:tcBorders>
              <w:top w:val="nil"/>
              <w:left w:val="nil"/>
              <w:bottom w:val="nil"/>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United States</w:t>
            </w:r>
          </w:p>
        </w:tc>
        <w:tc>
          <w:tcPr>
            <w:tcW w:w="1786" w:type="dxa"/>
            <w:gridSpan w:val="2"/>
            <w:tcBorders>
              <w:top w:val="nil"/>
              <w:left w:val="nil"/>
              <w:bottom w:val="nil"/>
              <w:right w:val="nil"/>
            </w:tcBorders>
            <w:shd w:val="clear" w:color="000000" w:fill="FFFFFF"/>
            <w:noWrap/>
            <w:vAlign w:val="bottom"/>
            <w:hideMark/>
          </w:tcPr>
          <w:p w:rsidR="004C5A1D" w:rsidRPr="00F53234" w:rsidRDefault="004C5A1D" w:rsidP="000A1B16">
            <w:pPr>
              <w:spacing w:after="0" w:line="240" w:lineRule="auto"/>
              <w:jc w:val="right"/>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14.209</w:t>
            </w:r>
          </w:p>
        </w:tc>
        <w:tc>
          <w:tcPr>
            <w:tcW w:w="940" w:type="dxa"/>
            <w:tcBorders>
              <w:top w:val="nil"/>
              <w:left w:val="nil"/>
              <w:bottom w:val="nil"/>
              <w:right w:val="nil"/>
            </w:tcBorders>
            <w:shd w:val="clear" w:color="000000" w:fill="FFFFFF"/>
            <w:vAlign w:val="bottom"/>
            <w:hideMark/>
          </w:tcPr>
          <w:p w:rsidR="004C5A1D" w:rsidRPr="00F53234" w:rsidRDefault="004C5A1D" w:rsidP="000A1B16">
            <w:pPr>
              <w:spacing w:after="0" w:line="240" w:lineRule="auto"/>
              <w:rPr>
                <w:rFonts w:ascii="Calibri" w:eastAsia="Times New Roman" w:hAnsi="Calibri" w:cs="Times New Roman"/>
                <w:b/>
                <w:bCs/>
                <w:color w:val="333399"/>
                <w:sz w:val="20"/>
                <w:szCs w:val="20"/>
                <w:lang w:eastAsia="it-IT"/>
              </w:rPr>
            </w:pPr>
            <w:r w:rsidRPr="00F53234">
              <w:rPr>
                <w:rFonts w:ascii="Calibri" w:eastAsia="Times New Roman" w:hAnsi="Calibri" w:cs="Times New Roman"/>
                <w:b/>
                <w:bCs/>
                <w:color w:val="333399"/>
                <w:sz w:val="20"/>
                <w:szCs w:val="20"/>
                <w:lang w:eastAsia="it-IT"/>
              </w:rPr>
              <w:t> </w:t>
            </w:r>
          </w:p>
        </w:tc>
        <w:tc>
          <w:tcPr>
            <w:tcW w:w="343" w:type="dxa"/>
            <w:tcBorders>
              <w:top w:val="single" w:sz="4" w:space="0" w:color="auto"/>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c>
          <w:tcPr>
            <w:tcW w:w="2038" w:type="dxa"/>
            <w:tcBorders>
              <w:top w:val="single" w:sz="4" w:space="0" w:color="auto"/>
              <w:left w:val="nil"/>
              <w:bottom w:val="nil"/>
              <w:right w:val="nil"/>
            </w:tcBorders>
            <w:shd w:val="clear" w:color="000000" w:fill="FFFFFF"/>
            <w:noWrap/>
            <w:vAlign w:val="bottom"/>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p>
        </w:tc>
        <w:tc>
          <w:tcPr>
            <w:tcW w:w="2324" w:type="dxa"/>
            <w:tcBorders>
              <w:top w:val="single" w:sz="4" w:space="0" w:color="auto"/>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r>
      <w:tr w:rsidR="004C5A1D" w:rsidRPr="00F53234" w:rsidTr="004C5A1D">
        <w:trPr>
          <w:trHeight w:val="315"/>
        </w:trPr>
        <w:tc>
          <w:tcPr>
            <w:tcW w:w="1713" w:type="dxa"/>
            <w:tcBorders>
              <w:top w:val="nil"/>
              <w:left w:val="nil"/>
              <w:bottom w:val="nil"/>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France</w:t>
            </w:r>
          </w:p>
        </w:tc>
        <w:tc>
          <w:tcPr>
            <w:tcW w:w="1786" w:type="dxa"/>
            <w:gridSpan w:val="2"/>
            <w:tcBorders>
              <w:top w:val="nil"/>
              <w:left w:val="nil"/>
              <w:bottom w:val="nil"/>
              <w:right w:val="nil"/>
            </w:tcBorders>
            <w:shd w:val="clear" w:color="000000" w:fill="FFFFFF"/>
            <w:noWrap/>
            <w:vAlign w:val="bottom"/>
            <w:hideMark/>
          </w:tcPr>
          <w:p w:rsidR="004C5A1D" w:rsidRPr="00F53234" w:rsidRDefault="004C5A1D" w:rsidP="000A1B16">
            <w:pPr>
              <w:spacing w:after="0" w:line="240" w:lineRule="auto"/>
              <w:jc w:val="right"/>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13.197</w:t>
            </w:r>
          </w:p>
        </w:tc>
        <w:tc>
          <w:tcPr>
            <w:tcW w:w="940" w:type="dxa"/>
            <w:tcBorders>
              <w:top w:val="nil"/>
              <w:left w:val="nil"/>
              <w:bottom w:val="nil"/>
              <w:right w:val="nil"/>
            </w:tcBorders>
            <w:shd w:val="clear" w:color="000000" w:fill="FFFFFF"/>
            <w:vAlign w:val="bottom"/>
            <w:hideMark/>
          </w:tcPr>
          <w:p w:rsidR="004C5A1D" w:rsidRPr="00F53234" w:rsidRDefault="004C5A1D" w:rsidP="000A1B16">
            <w:pPr>
              <w:spacing w:after="0" w:line="240" w:lineRule="auto"/>
              <w:rPr>
                <w:rFonts w:ascii="Calibri" w:eastAsia="Times New Roman" w:hAnsi="Calibri" w:cs="Times New Roman"/>
                <w:b/>
                <w:bCs/>
                <w:color w:val="333399"/>
                <w:sz w:val="20"/>
                <w:szCs w:val="20"/>
                <w:lang w:eastAsia="it-IT"/>
              </w:rPr>
            </w:pPr>
            <w:r w:rsidRPr="00F53234">
              <w:rPr>
                <w:rFonts w:ascii="Calibri" w:eastAsia="Times New Roman" w:hAnsi="Calibri" w:cs="Times New Roman"/>
                <w:b/>
                <w:bCs/>
                <w:color w:val="333399"/>
                <w:sz w:val="20"/>
                <w:szCs w:val="20"/>
                <w:lang w:eastAsia="it-IT"/>
              </w:rPr>
              <w:t> </w:t>
            </w:r>
          </w:p>
        </w:tc>
        <w:tc>
          <w:tcPr>
            <w:tcW w:w="343"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c>
          <w:tcPr>
            <w:tcW w:w="2038"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p>
        </w:tc>
        <w:tc>
          <w:tcPr>
            <w:tcW w:w="2324"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r>
      <w:tr w:rsidR="004C5A1D" w:rsidRPr="00F53234" w:rsidTr="004C5A1D">
        <w:trPr>
          <w:trHeight w:val="300"/>
        </w:trPr>
        <w:tc>
          <w:tcPr>
            <w:tcW w:w="1713" w:type="dxa"/>
            <w:tcBorders>
              <w:top w:val="nil"/>
              <w:left w:val="nil"/>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United Kingdom</w:t>
            </w:r>
          </w:p>
        </w:tc>
        <w:tc>
          <w:tcPr>
            <w:tcW w:w="1786" w:type="dxa"/>
            <w:gridSpan w:val="2"/>
            <w:tcBorders>
              <w:top w:val="nil"/>
              <w:left w:val="nil"/>
              <w:right w:val="nil"/>
            </w:tcBorders>
            <w:shd w:val="clear" w:color="000000" w:fill="FFFFFF"/>
            <w:noWrap/>
            <w:vAlign w:val="bottom"/>
            <w:hideMark/>
          </w:tcPr>
          <w:p w:rsidR="004C5A1D" w:rsidRPr="00F53234" w:rsidRDefault="004C5A1D" w:rsidP="000A1B16">
            <w:pPr>
              <w:spacing w:after="0" w:line="240" w:lineRule="auto"/>
              <w:jc w:val="right"/>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7.978</w:t>
            </w:r>
          </w:p>
        </w:tc>
        <w:tc>
          <w:tcPr>
            <w:tcW w:w="940" w:type="dxa"/>
            <w:tcBorders>
              <w:top w:val="nil"/>
              <w:left w:val="nil"/>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c>
          <w:tcPr>
            <w:tcW w:w="2038"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p>
        </w:tc>
        <w:tc>
          <w:tcPr>
            <w:tcW w:w="2324"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r>
      <w:tr w:rsidR="004C5A1D" w:rsidRPr="00F53234" w:rsidTr="004C5A1D">
        <w:trPr>
          <w:trHeight w:val="300"/>
        </w:trPr>
        <w:tc>
          <w:tcPr>
            <w:tcW w:w="1713" w:type="dxa"/>
            <w:tcBorders>
              <w:top w:val="nil"/>
              <w:left w:val="nil"/>
              <w:bottom w:val="single" w:sz="4" w:space="0" w:color="auto"/>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Japan</w:t>
            </w:r>
          </w:p>
        </w:tc>
        <w:tc>
          <w:tcPr>
            <w:tcW w:w="1786" w:type="dxa"/>
            <w:gridSpan w:val="2"/>
            <w:tcBorders>
              <w:top w:val="nil"/>
              <w:left w:val="nil"/>
              <w:bottom w:val="single" w:sz="4" w:space="0" w:color="auto"/>
              <w:right w:val="nil"/>
            </w:tcBorders>
            <w:shd w:val="clear" w:color="000000" w:fill="FFFFFF"/>
            <w:noWrap/>
            <w:vAlign w:val="bottom"/>
            <w:hideMark/>
          </w:tcPr>
          <w:p w:rsidR="004C5A1D" w:rsidRPr="00F53234" w:rsidRDefault="004C5A1D" w:rsidP="000A1B16">
            <w:pPr>
              <w:spacing w:after="0" w:line="240" w:lineRule="auto"/>
              <w:jc w:val="right"/>
              <w:rPr>
                <w:rFonts w:ascii="Calibri" w:eastAsia="Times New Roman" w:hAnsi="Calibri" w:cs="Times New Roman"/>
                <w:sz w:val="20"/>
                <w:szCs w:val="20"/>
                <w:lang w:eastAsia="it-IT"/>
              </w:rPr>
            </w:pPr>
            <w:r w:rsidRPr="00F53234">
              <w:rPr>
                <w:rFonts w:ascii="Calibri" w:eastAsia="Times New Roman" w:hAnsi="Calibri" w:cs="Times New Roman"/>
                <w:sz w:val="20"/>
                <w:szCs w:val="20"/>
                <w:lang w:eastAsia="it-IT"/>
              </w:rPr>
              <w:t>4.261</w:t>
            </w:r>
          </w:p>
        </w:tc>
        <w:tc>
          <w:tcPr>
            <w:tcW w:w="940" w:type="dxa"/>
            <w:tcBorders>
              <w:top w:val="nil"/>
              <w:left w:val="nil"/>
              <w:right w:val="nil"/>
            </w:tcBorders>
            <w:shd w:val="clear" w:color="000000" w:fill="FFFFFF"/>
            <w:noWrap/>
            <w:vAlign w:val="bottom"/>
            <w:hideMark/>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r w:rsidRPr="00F53234">
              <w:rPr>
                <w:rFonts w:ascii="Calibri" w:eastAsia="Times New Roman" w:hAnsi="Calibri" w:cs="Times New Roman"/>
                <w:color w:val="000000"/>
                <w:sz w:val="20"/>
                <w:szCs w:val="20"/>
                <w:lang w:eastAsia="it-IT"/>
              </w:rPr>
              <w:t> </w:t>
            </w:r>
          </w:p>
        </w:tc>
        <w:tc>
          <w:tcPr>
            <w:tcW w:w="343"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c>
          <w:tcPr>
            <w:tcW w:w="2038"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rPr>
                <w:rFonts w:ascii="Calibri" w:eastAsia="Times New Roman" w:hAnsi="Calibri" w:cs="Times New Roman"/>
                <w:color w:val="000000"/>
                <w:sz w:val="20"/>
                <w:szCs w:val="20"/>
                <w:lang w:eastAsia="it-IT"/>
              </w:rPr>
            </w:pPr>
          </w:p>
        </w:tc>
        <w:tc>
          <w:tcPr>
            <w:tcW w:w="2324" w:type="dxa"/>
            <w:tcBorders>
              <w:top w:val="nil"/>
              <w:left w:val="nil"/>
              <w:bottom w:val="nil"/>
              <w:right w:val="nil"/>
            </w:tcBorders>
            <w:shd w:val="clear" w:color="000000" w:fill="FFFFFF"/>
            <w:noWrap/>
            <w:vAlign w:val="bottom"/>
          </w:tcPr>
          <w:p w:rsidR="004C5A1D" w:rsidRPr="00F53234" w:rsidRDefault="004C5A1D" w:rsidP="000A1B16">
            <w:pPr>
              <w:spacing w:after="0" w:line="240" w:lineRule="auto"/>
              <w:jc w:val="right"/>
              <w:rPr>
                <w:rFonts w:ascii="Calibri" w:eastAsia="Times New Roman" w:hAnsi="Calibri" w:cs="Times New Roman"/>
                <w:color w:val="000000"/>
                <w:sz w:val="20"/>
                <w:szCs w:val="20"/>
                <w:lang w:eastAsia="it-IT"/>
              </w:rPr>
            </w:pPr>
          </w:p>
        </w:tc>
      </w:tr>
    </w:tbl>
    <w:p w:rsidR="000A1B16" w:rsidRPr="000A1B16" w:rsidRDefault="000A1B16" w:rsidP="0049426E">
      <w:pPr>
        <w:spacing w:before="80" w:after="0" w:line="240" w:lineRule="auto"/>
        <w:jc w:val="center"/>
        <w:rPr>
          <w:rFonts w:ascii="Calibri" w:eastAsia="Times New Roman" w:hAnsi="Calibri" w:cs="Times New Roman"/>
          <w:color w:val="000000"/>
          <w:sz w:val="18"/>
          <w:szCs w:val="18"/>
          <w:lang w:eastAsia="it-IT"/>
        </w:rPr>
      </w:pPr>
      <w:r w:rsidRPr="00F53234">
        <w:rPr>
          <w:rFonts w:ascii="Calibri" w:eastAsia="Times New Roman" w:hAnsi="Calibri" w:cs="Times New Roman"/>
          <w:color w:val="000000"/>
          <w:sz w:val="18"/>
          <w:szCs w:val="18"/>
          <w:lang w:eastAsia="it-IT"/>
        </w:rPr>
        <w:t>FONTE: elaborazioni Federculture su dati UNCTAD STAT</w:t>
      </w:r>
    </w:p>
    <w:p w:rsidR="00F53234" w:rsidRDefault="00F53234" w:rsidP="00E820A4">
      <w:pPr>
        <w:spacing w:before="480" w:after="0" w:line="276" w:lineRule="auto"/>
        <w:ind w:left="68"/>
      </w:pPr>
    </w:p>
    <w:p w:rsidR="00CA511F" w:rsidRPr="000937DF" w:rsidRDefault="00CA511F" w:rsidP="00CA511F">
      <w:pPr>
        <w:pStyle w:val="Paragrafoelenco"/>
        <w:numPr>
          <w:ilvl w:val="0"/>
          <w:numId w:val="7"/>
        </w:numPr>
        <w:rPr>
          <w:b/>
          <w:sz w:val="28"/>
          <w:szCs w:val="32"/>
        </w:rPr>
      </w:pPr>
      <w:r>
        <w:rPr>
          <w:b/>
          <w:sz w:val="28"/>
          <w:szCs w:val="32"/>
        </w:rPr>
        <w:t>Il turismo</w:t>
      </w:r>
    </w:p>
    <w:p w:rsidR="00CA511F" w:rsidRDefault="00CA511F" w:rsidP="00CA511F">
      <w:pPr>
        <w:spacing w:before="120" w:after="0" w:line="276" w:lineRule="auto"/>
        <w:ind w:left="68"/>
        <w:jc w:val="both"/>
      </w:pPr>
      <w:r w:rsidRPr="00CA511F">
        <w:t xml:space="preserve">Il settore turistico nel 2013 mostra di risentire della crisi economica mondiale in misura più contenuta rispetto al settore dei consumi culturali. In effetti </w:t>
      </w:r>
      <w:r w:rsidRPr="00CA511F">
        <w:rPr>
          <w:b/>
        </w:rPr>
        <w:t>i flussi turistici a livello mondiale continuano a crescere</w:t>
      </w:r>
      <w:r w:rsidRPr="00CA511F">
        <w:t>: supe</w:t>
      </w:r>
      <w:r>
        <w:t>r</w:t>
      </w:r>
      <w:r w:rsidRPr="00CA511F">
        <w:t xml:space="preserve">ata la soglia del miliardo nel 2012, </w:t>
      </w:r>
      <w:r>
        <w:t>per gli</w:t>
      </w:r>
      <w:r w:rsidRPr="00CA511F">
        <w:t xml:space="preserve"> </w:t>
      </w:r>
      <w:r w:rsidRPr="00CA511F">
        <w:rPr>
          <w:b/>
        </w:rPr>
        <w:t>arrivi internazionali nel 2013 si registra una variazione complessiva del 5%</w:t>
      </w:r>
      <w:r w:rsidRPr="00CA511F">
        <w:t>.</w:t>
      </w:r>
    </w:p>
    <w:p w:rsidR="00CA511F" w:rsidRDefault="00CA511F" w:rsidP="00E820A4">
      <w:pPr>
        <w:spacing w:before="120" w:after="240" w:line="276" w:lineRule="auto"/>
        <w:ind w:left="68"/>
        <w:jc w:val="both"/>
      </w:pPr>
      <w:r w:rsidRPr="00CA511F">
        <w:t xml:space="preserve">In questo quadro, </w:t>
      </w:r>
      <w:r w:rsidRPr="00CA511F">
        <w:rPr>
          <w:b/>
        </w:rPr>
        <w:t xml:space="preserve">il Bel Paese registra un </w:t>
      </w:r>
      <w:r>
        <w:rPr>
          <w:b/>
        </w:rPr>
        <w:t>incremento di visitatori del 2,6</w:t>
      </w:r>
      <w:r w:rsidRPr="00CA511F">
        <w:rPr>
          <w:b/>
        </w:rPr>
        <w:t>% rispetto al 2012, con un riflesso positivo anche sulla spesa dei turisti che si raggiunge i 32.989 milioni di euro</w:t>
      </w:r>
      <w:r w:rsidRPr="00CA511F">
        <w:t xml:space="preserve"> contro i 32.056 milioni del 2012 (</w:t>
      </w:r>
      <w:r w:rsidRPr="00CA511F">
        <w:rPr>
          <w:b/>
        </w:rPr>
        <w:t>+</w:t>
      </w:r>
      <w:r w:rsidR="00D5786A">
        <w:rPr>
          <w:b/>
        </w:rPr>
        <w:t>2,9</w:t>
      </w:r>
      <w:r w:rsidRPr="00CA511F">
        <w:rPr>
          <w:b/>
        </w:rPr>
        <w:t>%</w:t>
      </w:r>
      <w:r w:rsidRPr="00CA511F">
        <w:t xml:space="preserve">). Nonostante </w:t>
      </w:r>
      <w:r>
        <w:t>ciò</w:t>
      </w:r>
      <w:r w:rsidRPr="00CA511F">
        <w:t>,</w:t>
      </w:r>
      <w:r>
        <w:t xml:space="preserve"> </w:t>
      </w:r>
      <w:r w:rsidRPr="00CA511F">
        <w:t>è evidente però come l'Italia sia sempre meno competitiva a</w:t>
      </w:r>
      <w:r>
        <w:t xml:space="preserve"> </w:t>
      </w:r>
      <w:r w:rsidRPr="00CA511F">
        <w:t>livello internazionale, riuscendo ad intercettare solo parzialmente i flussi turistici internazionali in espansione, in particolare quelli provenienti dai paesi emergenti.</w:t>
      </w:r>
    </w:p>
    <w:p w:rsidR="00D5786A" w:rsidRPr="00D5786A" w:rsidRDefault="00D5786A" w:rsidP="00D5786A">
      <w:pPr>
        <w:spacing w:after="0" w:line="276" w:lineRule="auto"/>
        <w:ind w:left="68"/>
        <w:jc w:val="center"/>
        <w:rPr>
          <w:sz w:val="20"/>
        </w:rPr>
      </w:pPr>
      <w:r w:rsidRPr="00D5786A">
        <w:rPr>
          <w:b/>
          <w:sz w:val="20"/>
        </w:rPr>
        <w:t>Viaggiatori stranieri per macro area geografica</w:t>
      </w:r>
      <w:r>
        <w:rPr>
          <w:b/>
          <w:sz w:val="20"/>
        </w:rPr>
        <w:t xml:space="preserve"> - </w:t>
      </w:r>
      <w:r w:rsidRPr="00D5786A">
        <w:rPr>
          <w:sz w:val="20"/>
        </w:rPr>
        <w:t>Var. 2013/2012</w:t>
      </w:r>
    </w:p>
    <w:p w:rsidR="00D5786A" w:rsidRPr="00AD12DB" w:rsidRDefault="00CA511F" w:rsidP="00AD12DB">
      <w:pPr>
        <w:spacing w:after="0" w:line="276" w:lineRule="auto"/>
        <w:ind w:left="68"/>
        <w:jc w:val="center"/>
        <w:rPr>
          <w:sz w:val="16"/>
          <w:szCs w:val="16"/>
        </w:rPr>
      </w:pPr>
      <w:r>
        <w:rPr>
          <w:noProof/>
          <w:lang w:eastAsia="it-IT"/>
        </w:rPr>
        <w:drawing>
          <wp:inline distT="0" distB="0" distL="0" distR="0" wp14:anchorId="79F196BC" wp14:editId="61FDC053">
            <wp:extent cx="4524375" cy="1447800"/>
            <wp:effectExtent l="0" t="0" r="9525" b="0"/>
            <wp:docPr id="11" name="Gra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A86334">
        <w:rPr>
          <w:sz w:val="16"/>
          <w:szCs w:val="16"/>
        </w:rPr>
        <w:t>Fonte: Uic Banca d’Italia</w:t>
      </w:r>
    </w:p>
    <w:sectPr w:rsidR="00D5786A" w:rsidRPr="00AD12DB" w:rsidSect="00A3483F">
      <w:headerReference w:type="default" r:id="rId19"/>
      <w:footerReference w:type="default" r:id="rId20"/>
      <w:pgSz w:w="11906" w:h="16838"/>
      <w:pgMar w:top="709" w:right="964" w:bottom="567" w:left="964"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509" w:rsidRDefault="006C0509" w:rsidP="00432EB0">
      <w:pPr>
        <w:spacing w:after="0" w:line="240" w:lineRule="auto"/>
      </w:pPr>
      <w:r>
        <w:separator/>
      </w:r>
    </w:p>
  </w:endnote>
  <w:endnote w:type="continuationSeparator" w:id="0">
    <w:p w:rsidR="006C0509" w:rsidRDefault="006C0509" w:rsidP="00432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heMix-Black">
    <w:panose1 w:val="00000000000000000000"/>
    <w:charset w:val="00"/>
    <w:family w:val="swiss"/>
    <w:notTrueType/>
    <w:pitch w:val="default"/>
    <w:sig w:usb0="00000003" w:usb1="00000000" w:usb2="00000000" w:usb3="00000000" w:csb0="00000001" w:csb1="00000000"/>
  </w:font>
  <w:font w:name="TheMix-Light">
    <w:panose1 w:val="00000000000000000000"/>
    <w:charset w:val="00"/>
    <w:family w:val="swiss"/>
    <w:notTrueType/>
    <w:pitch w:val="default"/>
    <w:sig w:usb0="00000003" w:usb1="00000000" w:usb2="00000000" w:usb3="00000000" w:csb0="00000001" w:csb1="00000000"/>
  </w:font>
  <w:font w:name="TheMix-LightCap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83F" w:rsidRPr="00A3483F" w:rsidRDefault="00A3483F" w:rsidP="00A3483F">
    <w:pPr>
      <w:pStyle w:val="Pidipagina"/>
      <w:jc w:val="center"/>
      <w:rPr>
        <w:sz w:val="18"/>
        <w:szCs w:val="18"/>
      </w:rPr>
    </w:pPr>
    <w:r w:rsidRPr="00432EB0">
      <w:rPr>
        <w:i/>
        <w:sz w:val="18"/>
        <w:szCs w:val="18"/>
      </w:rPr>
      <w:t>Cultura l’alternativa alla crisi per una nuova idea di progresso</w:t>
    </w:r>
    <w:r>
      <w:rPr>
        <w:sz w:val="18"/>
        <w:szCs w:val="18"/>
      </w:rPr>
      <w:t xml:space="preserve">, </w:t>
    </w:r>
    <w:r w:rsidRPr="00432EB0">
      <w:rPr>
        <w:sz w:val="18"/>
        <w:szCs w:val="18"/>
      </w:rPr>
      <w:t>10° Rapporto Annuale Federculture</w:t>
    </w:r>
    <w:r>
      <w:rPr>
        <w:sz w:val="18"/>
        <w:szCs w:val="18"/>
      </w:rPr>
      <w:t xml:space="preserve"> - 24OreCultura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509" w:rsidRDefault="006C0509" w:rsidP="00432EB0">
      <w:pPr>
        <w:spacing w:after="0" w:line="240" w:lineRule="auto"/>
      </w:pPr>
      <w:r>
        <w:separator/>
      </w:r>
    </w:p>
  </w:footnote>
  <w:footnote w:type="continuationSeparator" w:id="0">
    <w:p w:rsidR="006C0509" w:rsidRDefault="006C0509" w:rsidP="00432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408562"/>
      <w:docPartObj>
        <w:docPartGallery w:val="Page Numbers (Margins)"/>
        <w:docPartUnique/>
      </w:docPartObj>
    </w:sdtPr>
    <w:sdtContent>
      <w:p w:rsidR="00A3483F" w:rsidRDefault="00A3483F">
        <w:pPr>
          <w:pStyle w:val="Intestazione"/>
        </w:pPr>
        <w:r>
          <w:rPr>
            <w:rFonts w:asciiTheme="majorHAnsi" w:eastAsiaTheme="majorEastAsia" w:hAnsiTheme="majorHAnsi" w:cstheme="majorBidi"/>
            <w:noProof/>
            <w:sz w:val="28"/>
            <w:szCs w:val="28"/>
            <w:lang w:eastAsia="it-IT"/>
          </w:rPr>
          <mc:AlternateContent>
            <mc:Choice Requires="wps">
              <w:drawing>
                <wp:anchor distT="0" distB="0" distL="114300" distR="114300" simplePos="0" relativeHeight="251659264"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334800" cy="334800"/>
                  <wp:effectExtent l="0" t="0" r="8255" b="8255"/>
                  <wp:wrapNone/>
                  <wp:docPr id="14" name="Ovale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4800" cy="334800"/>
                          </a:xfrm>
                          <a:prstGeom prst="ellipse">
                            <a:avLst/>
                          </a:prstGeom>
                          <a:solidFill>
                            <a:schemeClr val="tx2">
                              <a:lumMod val="20000"/>
                              <a:lumOff val="80000"/>
                            </a:schemeClr>
                          </a:solidFill>
                          <a:ln>
                            <a:noFill/>
                          </a:ln>
                        </wps:spPr>
                        <wps:txbx>
                          <w:txbxContent>
                            <w:p w:rsidR="00A3483F" w:rsidRPr="00A3483F" w:rsidRDefault="00A3483F" w:rsidP="00A3483F">
                              <w:pPr>
                                <w:jc w:val="center"/>
                                <w:rPr>
                                  <w:rStyle w:val="Numeropagina"/>
                                  <w:color w:val="44546A" w:themeColor="text2"/>
                                  <w:sz w:val="10"/>
                                  <w:szCs w:val="10"/>
                                </w:rPr>
                              </w:pPr>
                              <w:r w:rsidRPr="00A3483F">
                                <w:rPr>
                                  <w:color w:val="44546A" w:themeColor="text2"/>
                                  <w:sz w:val="10"/>
                                  <w:szCs w:val="10"/>
                                </w:rPr>
                                <w:fldChar w:fldCharType="begin"/>
                              </w:r>
                              <w:r w:rsidRPr="00A3483F">
                                <w:rPr>
                                  <w:color w:val="44546A" w:themeColor="text2"/>
                                  <w:sz w:val="10"/>
                                  <w:szCs w:val="10"/>
                                </w:rPr>
                                <w:instrText>PAGE    \* MERGEFORMAT</w:instrText>
                              </w:r>
                              <w:r w:rsidRPr="00A3483F">
                                <w:rPr>
                                  <w:color w:val="44546A" w:themeColor="text2"/>
                                  <w:sz w:val="10"/>
                                  <w:szCs w:val="10"/>
                                </w:rPr>
                                <w:fldChar w:fldCharType="separate"/>
                              </w:r>
                              <w:r w:rsidR="00A02E3C" w:rsidRPr="00A02E3C">
                                <w:rPr>
                                  <w:rStyle w:val="Numeropagina"/>
                                  <w:b/>
                                  <w:bCs/>
                                  <w:noProof/>
                                </w:rPr>
                                <w:t>1</w:t>
                              </w:r>
                              <w:r w:rsidRPr="00A3483F">
                                <w:rPr>
                                  <w:rStyle w:val="Numeropagina"/>
                                  <w:b/>
                                  <w:bCs/>
                                  <w:color w:val="44546A" w:themeColor="text2"/>
                                  <w:sz w:val="10"/>
                                  <w:szCs w:val="10"/>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e 14" o:spid="_x0000_s1027" style="position:absolute;margin-left:0;margin-top:0;width:26.35pt;height:26.35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9HSGwIAACsEAAAOAAAAZHJzL2Uyb0RvYy54bWysU8Fu2zAMvQ/YPwi6L07SbCuMOEWRosOA&#10;bi3Q7gMYWY6FyaJGKbGzrx8lJ2m23YZdBJISHx8fqeXN0Fmx1xQMukrOJlMptFNYG7et5LeX+3fX&#10;UoQIrgaLTlfyoIO8Wb19s+x9qefYoq01CQZxoex9JdsYfVkUQbW6gzBBrx1fNkgdRHZpW9QEPaN3&#10;tphPpx+KHqn2hEqHwNG78VKuMn7TaBUfmyboKGwlmVvMJ+Vzk85itYRyS+Bbo4404B9YdGAcFz1D&#10;3UEEsSPzF1RnFGHAJk4UdgU2jVE698DdzKZ/dPPcgte5FxYn+LNM4f/Bqq/7JxKm5tktpHDQ8Ywe&#10;92C1YJ/F6X0o+c2zf6LUXvAPqL4H4XDdgtvq2+BZYk7m3FOICPtWQ80sZwmi+A0jOYHRxKb/gjVX&#10;g13ELN3QUJdqsChiyBM6nCekhygUB6+uFtdTnqPiq6OdKkB5SvYU4ieNnUhGJbW1xoekIZSwfwhx&#10;fH16lVtCa+p7Y2120t7ptSXBGlQyDvOcancdkx1jvHXMgHGg5DBv1xhmWmOYyeTtTSiZWrgsYF1K&#10;dJgKjlxSJEuUVBkFj8Nm4Msk1QbrA4tFOG4u/zQ2WqSfUvS8tZUMP3ZAWgr72bHgacWzsXj/cc4O&#10;naKbyyg4xRDcnhSjuY7jl9h5Mts2z3OkecvDaUxW7ZXNkS9vZO7v+HvSyl/6+dXrH1/9AgAA//8D&#10;AFBLAwQUAAYACAAAACEAcljCXtkAAAADAQAADwAAAGRycy9kb3ducmV2LnhtbEyPzU7DMBCE70i8&#10;g7VI3KhDJPoT4lRVK65UpEVw3MbbJCJeR7bThrfHwKG97Gg1q5lv8+VoOnEi51vLCh4nCQjiyuqW&#10;awX73cvDHIQPyBo7y6Tgmzwsi9ubHDNtz/xGpzLUIoawz1BBE0KfSemrhgz6ie2Jo3e0zmCIq6ul&#10;dniO4aaTaZJMpcGWY0ODPa0bqr7KwSg4bjcfC13ucNi+L9L9dONeP8uZUvd34+oZRKAxXI7hFz+i&#10;QxGZDnZg7UWnID4S/mb0ntIZiMO/yiKX1+zFDwAAAP//AwBQSwECLQAUAAYACAAAACEAtoM4kv4A&#10;AADhAQAAEwAAAAAAAAAAAAAAAAAAAAAAW0NvbnRlbnRfVHlwZXNdLnhtbFBLAQItABQABgAIAAAA&#10;IQA4/SH/1gAAAJQBAAALAAAAAAAAAAAAAAAAAC8BAABfcmVscy8ucmVsc1BLAQItABQABgAIAAAA&#10;IQCww9HSGwIAACsEAAAOAAAAAAAAAAAAAAAAAC4CAABkcnMvZTJvRG9jLnhtbFBLAQItABQABgAI&#10;AAAAIQByWMJe2QAAAAMBAAAPAAAAAAAAAAAAAAAAAHUEAABkcnMvZG93bnJldi54bWxQSwUGAAAA&#10;AAQABADzAAAAewUAAAAA&#10;" o:allowincell="f" fillcolor="#d5dce4 [671]" stroked="f">
                  <o:lock v:ext="edit" aspectratio="t"/>
                  <v:textbox inset="0,,0">
                    <w:txbxContent>
                      <w:p w:rsidR="00A3483F" w:rsidRPr="00A3483F" w:rsidRDefault="00A3483F" w:rsidP="00A3483F">
                        <w:pPr>
                          <w:jc w:val="center"/>
                          <w:rPr>
                            <w:rStyle w:val="Numeropagina"/>
                            <w:color w:val="44546A" w:themeColor="text2"/>
                            <w:sz w:val="10"/>
                            <w:szCs w:val="10"/>
                          </w:rPr>
                        </w:pPr>
                        <w:r w:rsidRPr="00A3483F">
                          <w:rPr>
                            <w:color w:val="44546A" w:themeColor="text2"/>
                            <w:sz w:val="10"/>
                            <w:szCs w:val="10"/>
                          </w:rPr>
                          <w:fldChar w:fldCharType="begin"/>
                        </w:r>
                        <w:r w:rsidRPr="00A3483F">
                          <w:rPr>
                            <w:color w:val="44546A" w:themeColor="text2"/>
                            <w:sz w:val="10"/>
                            <w:szCs w:val="10"/>
                          </w:rPr>
                          <w:instrText>PAGE    \* MERGEFORMAT</w:instrText>
                        </w:r>
                        <w:r w:rsidRPr="00A3483F">
                          <w:rPr>
                            <w:color w:val="44546A" w:themeColor="text2"/>
                            <w:sz w:val="10"/>
                            <w:szCs w:val="10"/>
                          </w:rPr>
                          <w:fldChar w:fldCharType="separate"/>
                        </w:r>
                        <w:r w:rsidR="00A02E3C" w:rsidRPr="00A02E3C">
                          <w:rPr>
                            <w:rStyle w:val="Numeropagina"/>
                            <w:b/>
                            <w:bCs/>
                            <w:noProof/>
                          </w:rPr>
                          <w:t>1</w:t>
                        </w:r>
                        <w:r w:rsidRPr="00A3483F">
                          <w:rPr>
                            <w:rStyle w:val="Numeropagina"/>
                            <w:b/>
                            <w:bCs/>
                            <w:color w:val="44546A" w:themeColor="text2"/>
                            <w:sz w:val="10"/>
                            <w:szCs w:val="10"/>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8158D"/>
    <w:multiLevelType w:val="hybridMultilevel"/>
    <w:tmpl w:val="6F904EA0"/>
    <w:lvl w:ilvl="0" w:tplc="BD749E4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9102CAA"/>
    <w:multiLevelType w:val="hybridMultilevel"/>
    <w:tmpl w:val="44FE25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8D35132"/>
    <w:multiLevelType w:val="hybridMultilevel"/>
    <w:tmpl w:val="8B8C0A90"/>
    <w:lvl w:ilvl="0" w:tplc="6ADE583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8E2110B"/>
    <w:multiLevelType w:val="hybridMultilevel"/>
    <w:tmpl w:val="6478CBB8"/>
    <w:lvl w:ilvl="0" w:tplc="A22E41D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C01230F"/>
    <w:multiLevelType w:val="hybridMultilevel"/>
    <w:tmpl w:val="F9783408"/>
    <w:lvl w:ilvl="0" w:tplc="1AC2084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F4341D"/>
    <w:multiLevelType w:val="hybridMultilevel"/>
    <w:tmpl w:val="E48A2404"/>
    <w:lvl w:ilvl="0" w:tplc="1AC2084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7C35944"/>
    <w:multiLevelType w:val="hybridMultilevel"/>
    <w:tmpl w:val="7A128C72"/>
    <w:lvl w:ilvl="0" w:tplc="04100001">
      <w:start w:val="1"/>
      <w:numFmt w:val="bullet"/>
      <w:lvlText w:val=""/>
      <w:lvlJc w:val="left"/>
      <w:pPr>
        <w:ind w:left="788" w:hanging="360"/>
      </w:pPr>
      <w:rPr>
        <w:rFonts w:ascii="Symbol" w:hAnsi="Symbol"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7">
    <w:nsid w:val="7D062AFA"/>
    <w:multiLevelType w:val="hybridMultilevel"/>
    <w:tmpl w:val="F63C000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34"/>
    <w:rsid w:val="00021649"/>
    <w:rsid w:val="00044B26"/>
    <w:rsid w:val="00086010"/>
    <w:rsid w:val="000937DF"/>
    <w:rsid w:val="000A1B16"/>
    <w:rsid w:val="00131C88"/>
    <w:rsid w:val="00150D66"/>
    <w:rsid w:val="00164730"/>
    <w:rsid w:val="002231CD"/>
    <w:rsid w:val="00291392"/>
    <w:rsid w:val="002A1B2B"/>
    <w:rsid w:val="002D3E5C"/>
    <w:rsid w:val="002D54B0"/>
    <w:rsid w:val="002F60EB"/>
    <w:rsid w:val="00304097"/>
    <w:rsid w:val="00306F61"/>
    <w:rsid w:val="00316319"/>
    <w:rsid w:val="003249B3"/>
    <w:rsid w:val="00331C30"/>
    <w:rsid w:val="00335B81"/>
    <w:rsid w:val="00343EC8"/>
    <w:rsid w:val="00361417"/>
    <w:rsid w:val="00370358"/>
    <w:rsid w:val="003B4163"/>
    <w:rsid w:val="003C29B7"/>
    <w:rsid w:val="003E2F09"/>
    <w:rsid w:val="004121A3"/>
    <w:rsid w:val="00432EB0"/>
    <w:rsid w:val="00455266"/>
    <w:rsid w:val="0049426E"/>
    <w:rsid w:val="004A2F3D"/>
    <w:rsid w:val="004C5A1D"/>
    <w:rsid w:val="004D07E5"/>
    <w:rsid w:val="004E56E9"/>
    <w:rsid w:val="004E5B6C"/>
    <w:rsid w:val="004E77AB"/>
    <w:rsid w:val="005166A0"/>
    <w:rsid w:val="005D04FA"/>
    <w:rsid w:val="005D6032"/>
    <w:rsid w:val="005E5344"/>
    <w:rsid w:val="005F027B"/>
    <w:rsid w:val="005F1FE4"/>
    <w:rsid w:val="005F2C18"/>
    <w:rsid w:val="006372EB"/>
    <w:rsid w:val="006C0509"/>
    <w:rsid w:val="006D7D4E"/>
    <w:rsid w:val="006E043F"/>
    <w:rsid w:val="006E1301"/>
    <w:rsid w:val="006E4DEF"/>
    <w:rsid w:val="00702905"/>
    <w:rsid w:val="007066A4"/>
    <w:rsid w:val="007276B1"/>
    <w:rsid w:val="0074642C"/>
    <w:rsid w:val="00771E75"/>
    <w:rsid w:val="007D5F0F"/>
    <w:rsid w:val="007E084B"/>
    <w:rsid w:val="007E1F40"/>
    <w:rsid w:val="00834AF5"/>
    <w:rsid w:val="008451C5"/>
    <w:rsid w:val="0088596F"/>
    <w:rsid w:val="00906BD9"/>
    <w:rsid w:val="00944F4A"/>
    <w:rsid w:val="009501B7"/>
    <w:rsid w:val="009F4E77"/>
    <w:rsid w:val="00A02E3C"/>
    <w:rsid w:val="00A2657C"/>
    <w:rsid w:val="00A3483F"/>
    <w:rsid w:val="00A35C54"/>
    <w:rsid w:val="00A5024C"/>
    <w:rsid w:val="00A648AA"/>
    <w:rsid w:val="00A75470"/>
    <w:rsid w:val="00A86334"/>
    <w:rsid w:val="00AB66AE"/>
    <w:rsid w:val="00AB73D9"/>
    <w:rsid w:val="00AD12DB"/>
    <w:rsid w:val="00AE75D7"/>
    <w:rsid w:val="00AF44D7"/>
    <w:rsid w:val="00BD7A6C"/>
    <w:rsid w:val="00C16F95"/>
    <w:rsid w:val="00C3503B"/>
    <w:rsid w:val="00C377B2"/>
    <w:rsid w:val="00C410BF"/>
    <w:rsid w:val="00C45AE5"/>
    <w:rsid w:val="00C96CC5"/>
    <w:rsid w:val="00CA511F"/>
    <w:rsid w:val="00CA6433"/>
    <w:rsid w:val="00CF4B4D"/>
    <w:rsid w:val="00CF5C5D"/>
    <w:rsid w:val="00D17389"/>
    <w:rsid w:val="00D40E20"/>
    <w:rsid w:val="00D575E8"/>
    <w:rsid w:val="00D5786A"/>
    <w:rsid w:val="00D63D54"/>
    <w:rsid w:val="00D86195"/>
    <w:rsid w:val="00D87EDC"/>
    <w:rsid w:val="00DA3B82"/>
    <w:rsid w:val="00DA68B7"/>
    <w:rsid w:val="00DA7334"/>
    <w:rsid w:val="00E268E5"/>
    <w:rsid w:val="00E53398"/>
    <w:rsid w:val="00E708E2"/>
    <w:rsid w:val="00E820A4"/>
    <w:rsid w:val="00E9760E"/>
    <w:rsid w:val="00EC5021"/>
    <w:rsid w:val="00F2586F"/>
    <w:rsid w:val="00F53234"/>
    <w:rsid w:val="00F6555D"/>
    <w:rsid w:val="00F7766C"/>
    <w:rsid w:val="00F85BD0"/>
    <w:rsid w:val="00FF35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15:chartTrackingRefBased/>
  <w15:docId w15:val="{5FBA59B4-CFA8-4C42-92CB-1E301716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72EB"/>
    <w:pPr>
      <w:ind w:left="720"/>
      <w:contextualSpacing/>
    </w:pPr>
  </w:style>
  <w:style w:type="paragraph" w:styleId="Testofumetto">
    <w:name w:val="Balloon Text"/>
    <w:basedOn w:val="Normale"/>
    <w:link w:val="TestofumettoCarattere"/>
    <w:uiPriority w:val="99"/>
    <w:semiHidden/>
    <w:unhideWhenUsed/>
    <w:rsid w:val="00E976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9760E"/>
    <w:rPr>
      <w:rFonts w:ascii="Segoe UI" w:hAnsi="Segoe UI" w:cs="Segoe UI"/>
      <w:sz w:val="18"/>
      <w:szCs w:val="18"/>
    </w:rPr>
  </w:style>
  <w:style w:type="paragraph" w:styleId="Intestazione">
    <w:name w:val="header"/>
    <w:basedOn w:val="Normale"/>
    <w:link w:val="IntestazioneCarattere"/>
    <w:uiPriority w:val="99"/>
    <w:unhideWhenUsed/>
    <w:rsid w:val="00432EB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2EB0"/>
  </w:style>
  <w:style w:type="paragraph" w:styleId="Pidipagina">
    <w:name w:val="footer"/>
    <w:basedOn w:val="Normale"/>
    <w:link w:val="PidipaginaCarattere"/>
    <w:uiPriority w:val="99"/>
    <w:unhideWhenUsed/>
    <w:rsid w:val="00432E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2EB0"/>
  </w:style>
  <w:style w:type="paragraph" w:styleId="NormaleWeb">
    <w:name w:val="Normal (Web)"/>
    <w:basedOn w:val="Normale"/>
    <w:uiPriority w:val="99"/>
    <w:semiHidden/>
    <w:unhideWhenUsed/>
    <w:rsid w:val="005F027B"/>
    <w:pPr>
      <w:spacing w:before="100" w:beforeAutospacing="1" w:after="100" w:afterAutospacing="1" w:line="240" w:lineRule="auto"/>
    </w:pPr>
    <w:rPr>
      <w:rFonts w:ascii="Times New Roman" w:eastAsiaTheme="minorEastAsia" w:hAnsi="Times New Roman" w:cs="Times New Roman"/>
      <w:sz w:val="24"/>
      <w:szCs w:val="24"/>
      <w:lang w:eastAsia="it-IT"/>
    </w:rPr>
  </w:style>
  <w:style w:type="table" w:styleId="Grigliatabella">
    <w:name w:val="Table Grid"/>
    <w:basedOn w:val="Tabellanormale"/>
    <w:uiPriority w:val="39"/>
    <w:rsid w:val="005F1F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uiPriority w:val="99"/>
    <w:unhideWhenUsed/>
    <w:rsid w:val="00A34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78712">
      <w:bodyDiv w:val="1"/>
      <w:marLeft w:val="0"/>
      <w:marRight w:val="0"/>
      <w:marTop w:val="0"/>
      <w:marBottom w:val="0"/>
      <w:divBdr>
        <w:top w:val="none" w:sz="0" w:space="0" w:color="auto"/>
        <w:left w:val="none" w:sz="0" w:space="0" w:color="auto"/>
        <w:bottom w:val="none" w:sz="0" w:space="0" w:color="auto"/>
        <w:right w:val="none" w:sz="0" w:space="0" w:color="auto"/>
      </w:divBdr>
    </w:div>
    <w:div w:id="173419286">
      <w:bodyDiv w:val="1"/>
      <w:marLeft w:val="0"/>
      <w:marRight w:val="0"/>
      <w:marTop w:val="0"/>
      <w:marBottom w:val="0"/>
      <w:divBdr>
        <w:top w:val="none" w:sz="0" w:space="0" w:color="auto"/>
        <w:left w:val="none" w:sz="0" w:space="0" w:color="auto"/>
        <w:bottom w:val="none" w:sz="0" w:space="0" w:color="auto"/>
        <w:right w:val="none" w:sz="0" w:space="0" w:color="auto"/>
      </w:divBdr>
    </w:div>
    <w:div w:id="580212791">
      <w:bodyDiv w:val="1"/>
      <w:marLeft w:val="0"/>
      <w:marRight w:val="0"/>
      <w:marTop w:val="0"/>
      <w:marBottom w:val="0"/>
      <w:divBdr>
        <w:top w:val="none" w:sz="0" w:space="0" w:color="auto"/>
        <w:left w:val="none" w:sz="0" w:space="0" w:color="auto"/>
        <w:bottom w:val="none" w:sz="0" w:space="0" w:color="auto"/>
        <w:right w:val="none" w:sz="0" w:space="0" w:color="auto"/>
      </w:divBdr>
    </w:div>
    <w:div w:id="653411397">
      <w:bodyDiv w:val="1"/>
      <w:marLeft w:val="0"/>
      <w:marRight w:val="0"/>
      <w:marTop w:val="0"/>
      <w:marBottom w:val="0"/>
      <w:divBdr>
        <w:top w:val="none" w:sz="0" w:space="0" w:color="auto"/>
        <w:left w:val="none" w:sz="0" w:space="0" w:color="auto"/>
        <w:bottom w:val="none" w:sz="0" w:space="0" w:color="auto"/>
        <w:right w:val="none" w:sz="0" w:space="0" w:color="auto"/>
      </w:divBdr>
    </w:div>
    <w:div w:id="679746237">
      <w:bodyDiv w:val="1"/>
      <w:marLeft w:val="0"/>
      <w:marRight w:val="0"/>
      <w:marTop w:val="0"/>
      <w:marBottom w:val="0"/>
      <w:divBdr>
        <w:top w:val="none" w:sz="0" w:space="0" w:color="auto"/>
        <w:left w:val="none" w:sz="0" w:space="0" w:color="auto"/>
        <w:bottom w:val="none" w:sz="0" w:space="0" w:color="auto"/>
        <w:right w:val="none" w:sz="0" w:space="0" w:color="auto"/>
      </w:divBdr>
    </w:div>
    <w:div w:id="801964266">
      <w:bodyDiv w:val="1"/>
      <w:marLeft w:val="0"/>
      <w:marRight w:val="0"/>
      <w:marTop w:val="0"/>
      <w:marBottom w:val="0"/>
      <w:divBdr>
        <w:top w:val="none" w:sz="0" w:space="0" w:color="auto"/>
        <w:left w:val="none" w:sz="0" w:space="0" w:color="auto"/>
        <w:bottom w:val="none" w:sz="0" w:space="0" w:color="auto"/>
        <w:right w:val="none" w:sz="0" w:space="0" w:color="auto"/>
      </w:divBdr>
    </w:div>
    <w:div w:id="889220107">
      <w:bodyDiv w:val="1"/>
      <w:marLeft w:val="0"/>
      <w:marRight w:val="0"/>
      <w:marTop w:val="0"/>
      <w:marBottom w:val="0"/>
      <w:divBdr>
        <w:top w:val="none" w:sz="0" w:space="0" w:color="auto"/>
        <w:left w:val="none" w:sz="0" w:space="0" w:color="auto"/>
        <w:bottom w:val="none" w:sz="0" w:space="0" w:color="auto"/>
        <w:right w:val="none" w:sz="0" w:space="0" w:color="auto"/>
      </w:divBdr>
    </w:div>
    <w:div w:id="1004091216">
      <w:bodyDiv w:val="1"/>
      <w:marLeft w:val="0"/>
      <w:marRight w:val="0"/>
      <w:marTop w:val="0"/>
      <w:marBottom w:val="0"/>
      <w:divBdr>
        <w:top w:val="none" w:sz="0" w:space="0" w:color="auto"/>
        <w:left w:val="none" w:sz="0" w:space="0" w:color="auto"/>
        <w:bottom w:val="none" w:sz="0" w:space="0" w:color="auto"/>
        <w:right w:val="none" w:sz="0" w:space="0" w:color="auto"/>
      </w:divBdr>
    </w:div>
    <w:div w:id="1314212462">
      <w:bodyDiv w:val="1"/>
      <w:marLeft w:val="0"/>
      <w:marRight w:val="0"/>
      <w:marTop w:val="0"/>
      <w:marBottom w:val="0"/>
      <w:divBdr>
        <w:top w:val="none" w:sz="0" w:space="0" w:color="auto"/>
        <w:left w:val="none" w:sz="0" w:space="0" w:color="auto"/>
        <w:bottom w:val="none" w:sz="0" w:space="0" w:color="auto"/>
        <w:right w:val="none" w:sz="0" w:space="0" w:color="auto"/>
      </w:divBdr>
    </w:div>
    <w:div w:id="1316377820">
      <w:bodyDiv w:val="1"/>
      <w:marLeft w:val="0"/>
      <w:marRight w:val="0"/>
      <w:marTop w:val="0"/>
      <w:marBottom w:val="0"/>
      <w:divBdr>
        <w:top w:val="none" w:sz="0" w:space="0" w:color="auto"/>
        <w:left w:val="none" w:sz="0" w:space="0" w:color="auto"/>
        <w:bottom w:val="none" w:sz="0" w:space="0" w:color="auto"/>
        <w:right w:val="none" w:sz="0" w:space="0" w:color="auto"/>
      </w:divBdr>
    </w:div>
    <w:div w:id="1422021848">
      <w:bodyDiv w:val="1"/>
      <w:marLeft w:val="0"/>
      <w:marRight w:val="0"/>
      <w:marTop w:val="0"/>
      <w:marBottom w:val="0"/>
      <w:divBdr>
        <w:top w:val="none" w:sz="0" w:space="0" w:color="auto"/>
        <w:left w:val="none" w:sz="0" w:space="0" w:color="auto"/>
        <w:bottom w:val="none" w:sz="0" w:space="0" w:color="auto"/>
        <w:right w:val="none" w:sz="0" w:space="0" w:color="auto"/>
      </w:divBdr>
    </w:div>
    <w:div w:id="1458327821">
      <w:bodyDiv w:val="1"/>
      <w:marLeft w:val="0"/>
      <w:marRight w:val="0"/>
      <w:marTop w:val="0"/>
      <w:marBottom w:val="0"/>
      <w:divBdr>
        <w:top w:val="none" w:sz="0" w:space="0" w:color="auto"/>
        <w:left w:val="none" w:sz="0" w:space="0" w:color="auto"/>
        <w:bottom w:val="none" w:sz="0" w:space="0" w:color="auto"/>
        <w:right w:val="none" w:sz="0" w:space="0" w:color="auto"/>
      </w:divBdr>
    </w:div>
    <w:div w:id="1535999743">
      <w:bodyDiv w:val="1"/>
      <w:marLeft w:val="0"/>
      <w:marRight w:val="0"/>
      <w:marTop w:val="0"/>
      <w:marBottom w:val="0"/>
      <w:divBdr>
        <w:top w:val="none" w:sz="0" w:space="0" w:color="auto"/>
        <w:left w:val="none" w:sz="0" w:space="0" w:color="auto"/>
        <w:bottom w:val="none" w:sz="0" w:space="0" w:color="auto"/>
        <w:right w:val="none" w:sz="0" w:space="0" w:color="auto"/>
      </w:divBdr>
    </w:div>
    <w:div w:id="1908227456">
      <w:bodyDiv w:val="1"/>
      <w:marLeft w:val="0"/>
      <w:marRight w:val="0"/>
      <w:marTop w:val="0"/>
      <w:marBottom w:val="0"/>
      <w:divBdr>
        <w:top w:val="none" w:sz="0" w:space="0" w:color="auto"/>
        <w:left w:val="none" w:sz="0" w:space="0" w:color="auto"/>
        <w:bottom w:val="none" w:sz="0" w:space="0" w:color="auto"/>
        <w:right w:val="none" w:sz="0" w:space="0" w:color="auto"/>
      </w:divBdr>
    </w:div>
    <w:div w:id="1935824524">
      <w:bodyDiv w:val="1"/>
      <w:marLeft w:val="0"/>
      <w:marRight w:val="0"/>
      <w:marTop w:val="0"/>
      <w:marBottom w:val="0"/>
      <w:divBdr>
        <w:top w:val="none" w:sz="0" w:space="0" w:color="auto"/>
        <w:left w:val="none" w:sz="0" w:space="0" w:color="auto"/>
        <w:bottom w:val="none" w:sz="0" w:space="0" w:color="auto"/>
        <w:right w:val="none" w:sz="0" w:space="0" w:color="auto"/>
      </w:divBdr>
    </w:div>
    <w:div w:id="1948417715">
      <w:bodyDiv w:val="1"/>
      <w:marLeft w:val="0"/>
      <w:marRight w:val="0"/>
      <w:marTop w:val="0"/>
      <w:marBottom w:val="0"/>
      <w:divBdr>
        <w:top w:val="none" w:sz="0" w:space="0" w:color="auto"/>
        <w:left w:val="none" w:sz="0" w:space="0" w:color="auto"/>
        <w:bottom w:val="none" w:sz="0" w:space="0" w:color="auto"/>
        <w:right w:val="none" w:sz="0" w:space="0" w:color="auto"/>
      </w:divBdr>
    </w:div>
    <w:div w:id="1953702892">
      <w:bodyDiv w:val="1"/>
      <w:marLeft w:val="0"/>
      <w:marRight w:val="0"/>
      <w:marTop w:val="0"/>
      <w:marBottom w:val="0"/>
      <w:divBdr>
        <w:top w:val="none" w:sz="0" w:space="0" w:color="auto"/>
        <w:left w:val="none" w:sz="0" w:space="0" w:color="auto"/>
        <w:bottom w:val="none" w:sz="0" w:space="0" w:color="auto"/>
        <w:right w:val="none" w:sz="0" w:space="0" w:color="auto"/>
      </w:divBdr>
    </w:div>
    <w:div w:id="1962026538">
      <w:bodyDiv w:val="1"/>
      <w:marLeft w:val="0"/>
      <w:marRight w:val="0"/>
      <w:marTop w:val="0"/>
      <w:marBottom w:val="0"/>
      <w:divBdr>
        <w:top w:val="none" w:sz="0" w:space="0" w:color="auto"/>
        <w:left w:val="none" w:sz="0" w:space="0" w:color="auto"/>
        <w:bottom w:val="none" w:sz="0" w:space="0" w:color="auto"/>
        <w:right w:val="none" w:sz="0" w:space="0" w:color="auto"/>
      </w:divBdr>
    </w:div>
    <w:div w:id="2038650458">
      <w:bodyDiv w:val="1"/>
      <w:marLeft w:val="0"/>
      <w:marRight w:val="0"/>
      <w:marTop w:val="0"/>
      <w:marBottom w:val="0"/>
      <w:divBdr>
        <w:top w:val="none" w:sz="0" w:space="0" w:color="auto"/>
        <w:left w:val="none" w:sz="0" w:space="0" w:color="auto"/>
        <w:bottom w:val="none" w:sz="0" w:space="0" w:color="auto"/>
        <w:right w:val="none" w:sz="0" w:space="0" w:color="auto"/>
      </w:divBdr>
    </w:div>
    <w:div w:id="205442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Pag_25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Grafici%20da%20correggere_sostituire_22-0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Appendice%20dati%20statistici_07-04-201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Appendice%20dati%20statistici_07-04-2014.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marte\CAMALEONTE\Dati\Musei_consumi\Consumi\Istat%20spesa%20famiglie%20Europa_2011.xls" TargetMode="External"/><Relationship Id="rId2" Type="http://schemas.microsoft.com/office/2011/relationships/chartColorStyle" Target="colors1.xml"/><Relationship Id="rId1" Type="http://schemas.microsoft.com/office/2011/relationships/chartStyle" Target="style1.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7.xml.rels><?xml version="1.0" encoding="UTF-8" standalone="yes"?>
<Relationships xmlns="http://schemas.openxmlformats.org/package/2006/relationships"><Relationship Id="rId3" Type="http://schemas.openxmlformats.org/officeDocument/2006/relationships/oleObject" Target="file:///\\marte\CAMALEONTE\Rapporto%20Annuale\X%20Rapporto%20Annuale\Appendice\Appendice%20dati%20statistici_07-04-2014.xlsx" TargetMode="External"/><Relationship Id="rId2" Type="http://schemas.microsoft.com/office/2011/relationships/chartColorStyle" Target="colors2.xml"/><Relationship Id="rId1" Type="http://schemas.microsoft.com/office/2011/relationships/chartStyle" Target="style2.xml"/></Relationships>
</file>

<file path=word/charts/_rels/chart8.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Appendice%20dati%20statistici_07-04-2014.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marte\CAMALEONTE\Rapporto%20Annuale\X%20Rapporto%20Annuale\Appendice\Graf_pag24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847032523246461E-2"/>
          <c:y val="3.5534112366777684E-2"/>
          <c:w val="0.78612110247337852"/>
          <c:h val="0.87566205475273551"/>
        </c:manualLayout>
      </c:layout>
      <c:lineChart>
        <c:grouping val="standard"/>
        <c:varyColors val="0"/>
        <c:ser>
          <c:idx val="0"/>
          <c:order val="0"/>
          <c:tx>
            <c:strRef>
              <c:f>P.254!$D$131</c:f>
              <c:strCache>
                <c:ptCount val="1"/>
                <c:pt idx="0">
                  <c:v>Previsionale</c:v>
                </c:pt>
              </c:strCache>
            </c:strRef>
          </c:tx>
          <c:dLbls>
            <c:dLbl>
              <c:idx val="4"/>
              <c:layout>
                <c:manualLayout>
                  <c:x val="-3.9215084306673267E-2"/>
                  <c:y val="4.73271520422769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0917680672286932E-2"/>
                  <c:y val="5.07326004379353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580989157544593E-2"/>
                  <c:y val="5.07326004379353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7512487941059602E-2"/>
                  <c:y val="4.73271520422769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7943644328423596E-2"/>
                  <c:y val="4.73271520422769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6025469769127934E-2"/>
                  <c:y val="4.051625525096009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3.580989157544593E-2"/>
                  <c:y val="5.75434972292521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6"/>
              <c:layout>
                <c:manualLayout>
                  <c:x val="-3.1308296624322281E-2"/>
                  <c:y val="-5.6655418072740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sz="900"/>
                </a:pPr>
                <a:endParaRPr lang="it-IT"/>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P.254!$B$132:$B$148</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P.254!$D$132:$D$148</c:f>
              <c:numCache>
                <c:formatCode>_-* #,##0_-;\-* #,##0_-;_-* "-"??_-;_-@_-</c:formatCode>
                <c:ptCount val="17"/>
                <c:pt idx="0">
                  <c:v>2102.2677619999999</c:v>
                </c:pt>
                <c:pt idx="1">
                  <c:v>2240.9824039999999</c:v>
                </c:pt>
                <c:pt idx="2">
                  <c:v>2114.5311059999999</c:v>
                </c:pt>
                <c:pt idx="3">
                  <c:v>2116.1733009999998</c:v>
                </c:pt>
                <c:pt idx="4">
                  <c:v>2196.7109999999998</c:v>
                </c:pt>
                <c:pt idx="5">
                  <c:v>2200.6255070000002</c:v>
                </c:pt>
                <c:pt idx="6">
                  <c:v>1859.8387520000001</c:v>
                </c:pt>
                <c:pt idx="7">
                  <c:v>1987.0011629999999</c:v>
                </c:pt>
                <c:pt idx="8">
                  <c:v>2037.4460200000001</c:v>
                </c:pt>
                <c:pt idx="9">
                  <c:v>1718.595</c:v>
                </c:pt>
                <c:pt idx="10">
                  <c:v>1710.4078030000001</c:v>
                </c:pt>
                <c:pt idx="11">
                  <c:v>1425.03665</c:v>
                </c:pt>
                <c:pt idx="12">
                  <c:v>1687.429482</c:v>
                </c:pt>
                <c:pt idx="13">
                  <c:v>1546.779172</c:v>
                </c:pt>
                <c:pt idx="14">
                  <c:v>1595.345278</c:v>
                </c:pt>
                <c:pt idx="15">
                  <c:v>1485.4462759999999</c:v>
                </c:pt>
                <c:pt idx="16">
                  <c:v>1466.676569</c:v>
                </c:pt>
              </c:numCache>
            </c:numRef>
          </c:val>
          <c:smooth val="0"/>
        </c:ser>
        <c:ser>
          <c:idx val="1"/>
          <c:order val="1"/>
          <c:tx>
            <c:strRef>
              <c:f>P.254!$F$131</c:f>
              <c:strCache>
                <c:ptCount val="1"/>
                <c:pt idx="0">
                  <c:v>Consuntivo</c:v>
                </c:pt>
              </c:strCache>
            </c:strRef>
          </c:tx>
          <c:dLbls>
            <c:dLbl>
              <c:idx val="5"/>
              <c:layout>
                <c:manualLayout>
                  <c:x val="-3.1308296624322322E-2"/>
                  <c:y val="-6.11905654650311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5854784462467391E-2"/>
                  <c:y val="-5.66554180727409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2.903505270524976E-2"/>
                  <c:y val="-5.665541807274095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3"/>
              <c:layout/>
              <c:tx>
                <c:rich>
                  <a:bodyPr/>
                  <a:lstStyle/>
                  <a:p>
                    <a:r>
                      <a:rPr lang="en-US"/>
                      <a:t>n.d.</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14"/>
              <c:layout/>
              <c:tx>
                <c:rich>
                  <a:bodyPr/>
                  <a:lstStyle/>
                  <a:p>
                    <a:r>
                      <a:rPr lang="en-US"/>
                      <a:t>n.d.</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15"/>
              <c:layout/>
              <c:tx>
                <c:rich>
                  <a:bodyPr/>
                  <a:lstStyle/>
                  <a:p>
                    <a:r>
                      <a:rPr lang="en-US"/>
                      <a:t>n.d.</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16"/>
              <c:layout/>
              <c:tx>
                <c:rich>
                  <a:bodyPr/>
                  <a:lstStyle/>
                  <a:p>
                    <a:r>
                      <a:rPr lang="en-US"/>
                      <a:t>n.d.</a:t>
                    </a:r>
                  </a:p>
                </c:rich>
              </c:tx>
              <c:dLblPos val="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sz="900"/>
                </a:pPr>
                <a:endParaRPr lang="it-IT"/>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P.254!$B$132:$B$148</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f>P.254!$F$132:$F$148</c:f>
              <c:numCache>
                <c:formatCode>_-* #,##0_-;\-* #,##0_-;_-* "-"??_-;_-@_-</c:formatCode>
                <c:ptCount val="17"/>
                <c:pt idx="0">
                  <c:v>2398.719341</c:v>
                </c:pt>
                <c:pt idx="1">
                  <c:v>2707.7837420000001</c:v>
                </c:pt>
                <c:pt idx="2">
                  <c:v>2478.989157</c:v>
                </c:pt>
                <c:pt idx="3">
                  <c:v>2583.5279099999998</c:v>
                </c:pt>
                <c:pt idx="4">
                  <c:v>2405.206549</c:v>
                </c:pt>
                <c:pt idx="5">
                  <c:v>2408.2911490000001</c:v>
                </c:pt>
                <c:pt idx="6">
                  <c:v>2226.883335</c:v>
                </c:pt>
                <c:pt idx="7">
                  <c:v>2230.2757969999998</c:v>
                </c:pt>
                <c:pt idx="8">
                  <c:v>2116.3286079999998</c:v>
                </c:pt>
                <c:pt idx="9">
                  <c:v>1937.3092280000001</c:v>
                </c:pt>
                <c:pt idx="10">
                  <c:v>1795.5424559999999</c:v>
                </c:pt>
                <c:pt idx="11">
                  <c:v>1807.8882659999999</c:v>
                </c:pt>
                <c:pt idx="12">
                  <c:v>1808.327129</c:v>
                </c:pt>
                <c:pt idx="13" formatCode="#,##0">
                  <c:v>0</c:v>
                </c:pt>
                <c:pt idx="14" formatCode="#,##0">
                  <c:v>0</c:v>
                </c:pt>
                <c:pt idx="15" formatCode="#,##0">
                  <c:v>0</c:v>
                </c:pt>
                <c:pt idx="16" formatCode="#,##0">
                  <c:v>0</c:v>
                </c:pt>
              </c:numCache>
            </c:numRef>
          </c:val>
          <c:smooth val="0"/>
        </c:ser>
        <c:dLbls>
          <c:dLblPos val="t"/>
          <c:showLegendKey val="0"/>
          <c:showVal val="1"/>
          <c:showCatName val="0"/>
          <c:showSerName val="0"/>
          <c:showPercent val="0"/>
          <c:showBubbleSize val="0"/>
        </c:dLbls>
        <c:marker val="1"/>
        <c:smooth val="0"/>
        <c:axId val="304810768"/>
        <c:axId val="304811160"/>
        <c:extLst/>
      </c:lineChart>
      <c:catAx>
        <c:axId val="304810768"/>
        <c:scaling>
          <c:orientation val="minMax"/>
        </c:scaling>
        <c:delete val="0"/>
        <c:axPos val="b"/>
        <c:numFmt formatCode="General" sourceLinked="1"/>
        <c:majorTickMark val="out"/>
        <c:minorTickMark val="none"/>
        <c:tickLblPos val="nextTo"/>
        <c:crossAx val="304811160"/>
        <c:crosses val="autoZero"/>
        <c:auto val="1"/>
        <c:lblAlgn val="ctr"/>
        <c:lblOffset val="100"/>
        <c:noMultiLvlLbl val="0"/>
      </c:catAx>
      <c:valAx>
        <c:axId val="304811160"/>
        <c:scaling>
          <c:orientation val="minMax"/>
        </c:scaling>
        <c:delete val="0"/>
        <c:axPos val="l"/>
        <c:numFmt formatCode="_-* #,##0_-;\-* #,##0_-;_-* &quot;-&quot;??_-;_-@_-" sourceLinked="1"/>
        <c:majorTickMark val="out"/>
        <c:minorTickMark val="none"/>
        <c:tickLblPos val="nextTo"/>
        <c:crossAx val="304810768"/>
        <c:crosses val="autoZero"/>
        <c:crossBetween val="between"/>
      </c:valAx>
    </c:plotArea>
    <c:legend>
      <c:legendPos val="r"/>
      <c:layout>
        <c:manualLayout>
          <c:xMode val="edge"/>
          <c:yMode val="edge"/>
          <c:x val="0.84228895612790478"/>
          <c:y val="0.71400086587114753"/>
          <c:w val="0.13711917095056481"/>
          <c:h val="0.12428119165516681"/>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682522185989781E-2"/>
          <c:y val="7.4939023317717832E-2"/>
          <c:w val="0.86611071986881472"/>
          <c:h val="0.83174320022045412"/>
        </c:manualLayout>
      </c:layout>
      <c:barChart>
        <c:barDir val="col"/>
        <c:grouping val="clustered"/>
        <c:varyColors val="0"/>
        <c:ser>
          <c:idx val="0"/>
          <c:order val="1"/>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P.257!$G$65:$N$65</c:f>
              <c:numCache>
                <c:formatCode>General</c:formatCode>
                <c:ptCount val="8"/>
                <c:pt idx="0">
                  <c:v>2005</c:v>
                </c:pt>
                <c:pt idx="1">
                  <c:v>2006</c:v>
                </c:pt>
                <c:pt idx="2">
                  <c:v>2007</c:v>
                </c:pt>
                <c:pt idx="3">
                  <c:v>2008</c:v>
                </c:pt>
                <c:pt idx="4">
                  <c:v>2009</c:v>
                </c:pt>
                <c:pt idx="5">
                  <c:v>2010</c:v>
                </c:pt>
                <c:pt idx="6">
                  <c:v>2011</c:v>
                </c:pt>
                <c:pt idx="7">
                  <c:v>2012</c:v>
                </c:pt>
              </c:numCache>
            </c:numRef>
          </c:cat>
          <c:val>
            <c:numRef>
              <c:f>P.257!$G$66:$N$66</c:f>
              <c:numCache>
                <c:formatCode>#,##0</c:formatCode>
                <c:ptCount val="8"/>
                <c:pt idx="0">
                  <c:v>2605</c:v>
                </c:pt>
                <c:pt idx="1">
                  <c:v>2512</c:v>
                </c:pt>
                <c:pt idx="2">
                  <c:v>2477</c:v>
                </c:pt>
                <c:pt idx="3">
                  <c:v>2462</c:v>
                </c:pt>
                <c:pt idx="4">
                  <c:v>2368</c:v>
                </c:pt>
                <c:pt idx="5">
                  <c:v>2399</c:v>
                </c:pt>
                <c:pt idx="6">
                  <c:v>2135</c:v>
                </c:pt>
                <c:pt idx="7">
                  <c:v>1935</c:v>
                </c:pt>
              </c:numCache>
            </c:numRef>
          </c:val>
        </c:ser>
        <c:dLbls>
          <c:dLblPos val="outEnd"/>
          <c:showLegendKey val="0"/>
          <c:showVal val="1"/>
          <c:showCatName val="0"/>
          <c:showSerName val="0"/>
          <c:showPercent val="0"/>
          <c:showBubbleSize val="0"/>
        </c:dLbls>
        <c:gapWidth val="150"/>
        <c:axId val="303464864"/>
        <c:axId val="303465256"/>
        <c:extLst>
          <c:ext xmlns:c15="http://schemas.microsoft.com/office/drawing/2012/chart" uri="{02D57815-91ED-43cb-92C2-25804820EDAC}">
            <c15:filteredBarSeries>
              <c15:ser>
                <c:idx val="1"/>
                <c:order val="0"/>
                <c:invertIfNegative val="0"/>
                <c:dLbls>
                  <c:spPr>
                    <a:noFill/>
                    <a:ln w="25400">
                      <a:noFill/>
                    </a:ln>
                  </c:spPr>
                  <c:dLblPos val="outEnd"/>
                  <c:showLegendKey val="0"/>
                  <c:showVal val="1"/>
                  <c:showCatName val="0"/>
                  <c:showSerName val="0"/>
                  <c:showPercent val="0"/>
                  <c:showBubbleSize val="0"/>
                  <c:showLeaderLines val="0"/>
                  <c:extLst>
                    <c:ext uri="{CE6537A1-D6FC-4f65-9D91-7224C49458BB}">
                      <c15:showLeaderLines val="0"/>
                    </c:ext>
                  </c:extLst>
                </c:dLbls>
                <c:cat>
                  <c:numRef>
                    <c:extLst>
                      <c:ext uri="{02D57815-91ED-43cb-92C2-25804820EDAC}">
                        <c15:formulaRef>
                          <c15:sqref>P.257!$G$65:$N$65</c15:sqref>
                        </c15:formulaRef>
                      </c:ext>
                    </c:extLst>
                    <c:numCache>
                      <c:formatCode>General</c:formatCode>
                      <c:ptCount val="8"/>
                      <c:pt idx="0">
                        <c:v>2005</c:v>
                      </c:pt>
                      <c:pt idx="1">
                        <c:v>2006</c:v>
                      </c:pt>
                      <c:pt idx="2">
                        <c:v>2007</c:v>
                      </c:pt>
                      <c:pt idx="3">
                        <c:v>2008</c:v>
                      </c:pt>
                      <c:pt idx="4">
                        <c:v>2009</c:v>
                      </c:pt>
                      <c:pt idx="5">
                        <c:v>2010</c:v>
                      </c:pt>
                      <c:pt idx="6">
                        <c:v>2011</c:v>
                      </c:pt>
                      <c:pt idx="7">
                        <c:v>2012</c:v>
                      </c:pt>
                    </c:numCache>
                  </c:numRef>
                </c:cat>
                <c:val>
                  <c:numRef>
                    <c:extLst>
                      <c:ext uri="{02D57815-91ED-43cb-92C2-25804820EDAC}">
                        <c15:formulaRef>
                          <c15:sqref>P.257!$G$65:$N$65</c15:sqref>
                        </c15:formulaRef>
                      </c:ext>
                    </c:extLst>
                    <c:numCache>
                      <c:formatCode>General</c:formatCode>
                      <c:ptCount val="8"/>
                      <c:pt idx="0">
                        <c:v>2005</c:v>
                      </c:pt>
                      <c:pt idx="1">
                        <c:v>2006</c:v>
                      </c:pt>
                      <c:pt idx="2">
                        <c:v>2007</c:v>
                      </c:pt>
                      <c:pt idx="3">
                        <c:v>2008</c:v>
                      </c:pt>
                      <c:pt idx="4">
                        <c:v>2009</c:v>
                      </c:pt>
                      <c:pt idx="5">
                        <c:v>2010</c:v>
                      </c:pt>
                      <c:pt idx="6">
                        <c:v>2011</c:v>
                      </c:pt>
                      <c:pt idx="7">
                        <c:v>2012</c:v>
                      </c:pt>
                    </c:numCache>
                  </c:numRef>
                </c:val>
              </c15:ser>
            </c15:filteredBarSeries>
          </c:ext>
        </c:extLst>
      </c:barChart>
      <c:catAx>
        <c:axId val="303464864"/>
        <c:scaling>
          <c:orientation val="minMax"/>
        </c:scaling>
        <c:delete val="0"/>
        <c:axPos val="b"/>
        <c:numFmt formatCode="General" sourceLinked="1"/>
        <c:majorTickMark val="out"/>
        <c:minorTickMark val="none"/>
        <c:tickLblPos val="nextTo"/>
        <c:crossAx val="303465256"/>
        <c:crosses val="autoZero"/>
        <c:auto val="1"/>
        <c:lblAlgn val="ctr"/>
        <c:lblOffset val="100"/>
        <c:noMultiLvlLbl val="0"/>
      </c:catAx>
      <c:valAx>
        <c:axId val="303465256"/>
        <c:scaling>
          <c:orientation val="minMax"/>
        </c:scaling>
        <c:delete val="0"/>
        <c:axPos val="l"/>
        <c:numFmt formatCode="#,##0" sourceLinked="1"/>
        <c:majorTickMark val="out"/>
        <c:minorTickMark val="none"/>
        <c:tickLblPos val="nextTo"/>
        <c:crossAx val="30346486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24420200057173"/>
          <c:y val="9.0911935942597652E-2"/>
          <c:w val="0.85172976417071644"/>
          <c:h val="0.82184390092108262"/>
        </c:manualLayout>
      </c:layout>
      <c:barChart>
        <c:barDir val="col"/>
        <c:grouping val="clustered"/>
        <c:varyColors val="0"/>
        <c:ser>
          <c:idx val="0"/>
          <c:order val="0"/>
          <c:tx>
            <c:strRef>
              <c:f>P.22!$B$85</c:f>
              <c:strCache>
                <c:ptCount val="1"/>
                <c:pt idx="0">
                  <c:v>Cultura e spettacolo</c:v>
                </c:pt>
              </c:strCache>
            </c:strRef>
          </c:tx>
          <c:spPr>
            <a:solidFill>
              <a:srgbClr val="800080"/>
            </a:solidFill>
            <a:ln w="12700">
              <a:solidFill>
                <a:srgbClr val="000000"/>
              </a:solidFill>
              <a:prstDash val="solid"/>
            </a:ln>
          </c:spPr>
          <c:invertIfNegative val="0"/>
          <c:dLbls>
            <c:spPr>
              <a:noFill/>
              <a:ln w="25400">
                <a:noFill/>
              </a:ln>
            </c:spPr>
            <c:txPr>
              <a:bodyPr/>
              <a:lstStyle/>
              <a:p>
                <a:pPr>
                  <a:defRPr sz="800" b="0" i="0" u="none" strike="noStrike" baseline="0">
                    <a:solidFill>
                      <a:srgbClr val="000000"/>
                    </a:solidFill>
                    <a:latin typeface="Arial"/>
                    <a:ea typeface="Arial"/>
                    <a:cs typeface="Arial"/>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P.22!$C$84:$G$84</c:f>
              <c:strCache>
                <c:ptCount val="5"/>
                <c:pt idx="0">
                  <c:v>2008/2009</c:v>
                </c:pt>
                <c:pt idx="1">
                  <c:v>2009/2010</c:v>
                </c:pt>
                <c:pt idx="2">
                  <c:v>2010/2011</c:v>
                </c:pt>
                <c:pt idx="3">
                  <c:v>2011/2012</c:v>
                </c:pt>
                <c:pt idx="4">
                  <c:v>2012/2013</c:v>
                </c:pt>
              </c:strCache>
            </c:strRef>
          </c:cat>
          <c:val>
            <c:numRef>
              <c:f>P.22!$C$85:$G$85</c:f>
              <c:numCache>
                <c:formatCode>0.0%</c:formatCode>
                <c:ptCount val="5"/>
                <c:pt idx="0">
                  <c:v>-0.17843866171003717</c:v>
                </c:pt>
                <c:pt idx="1">
                  <c:v>-0.18099547511312217</c:v>
                </c:pt>
                <c:pt idx="2">
                  <c:v>-8.2872928176795577E-2</c:v>
                </c:pt>
                <c:pt idx="3">
                  <c:v>-9.6385542168674704E-2</c:v>
                </c:pt>
                <c:pt idx="4">
                  <c:v>0.06</c:v>
                </c:pt>
              </c:numCache>
            </c:numRef>
          </c:val>
        </c:ser>
        <c:dLbls>
          <c:showLegendKey val="0"/>
          <c:showVal val="0"/>
          <c:showCatName val="0"/>
          <c:showSerName val="0"/>
          <c:showPercent val="0"/>
          <c:showBubbleSize val="0"/>
        </c:dLbls>
        <c:gapWidth val="150"/>
        <c:axId val="303466040"/>
        <c:axId val="303466432"/>
      </c:barChart>
      <c:catAx>
        <c:axId val="3034660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it-IT"/>
          </a:p>
        </c:txPr>
        <c:crossAx val="303466432"/>
        <c:crosses val="autoZero"/>
        <c:auto val="1"/>
        <c:lblAlgn val="ctr"/>
        <c:lblOffset val="100"/>
        <c:tickLblSkip val="1"/>
        <c:tickMarkSkip val="1"/>
        <c:noMultiLvlLbl val="0"/>
      </c:catAx>
      <c:valAx>
        <c:axId val="303466432"/>
        <c:scaling>
          <c:orientation val="minMax"/>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it-IT"/>
          </a:p>
        </c:txPr>
        <c:crossAx val="303466040"/>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626865671641784E-2"/>
          <c:y val="5.3942018003634767E-2"/>
          <c:w val="0.90230664857530529"/>
          <c:h val="0.87966983205927463"/>
        </c:manualLayout>
      </c:layout>
      <c:barChart>
        <c:barDir val="col"/>
        <c:grouping val="clustered"/>
        <c:varyColors val="0"/>
        <c:ser>
          <c:idx val="0"/>
          <c:order val="0"/>
          <c:invertIfNegative val="0"/>
          <c:dLbls>
            <c:dLbl>
              <c:idx val="2"/>
              <c:layout>
                <c:manualLayout>
                  <c:x val="3.0835511932635895E-3"/>
                  <c:y val="-9.3888173611329853E-2"/>
                </c:manualLayout>
              </c:layout>
              <c:spPr>
                <a:noFill/>
                <a:ln w="25400">
                  <a:noFill/>
                </a:ln>
              </c:spPr>
              <c:txPr>
                <a:bodyPr/>
                <a:lstStyle/>
                <a:p>
                  <a:pPr>
                    <a:defRPr sz="1000" b="0" i="0" u="none" strike="noStrike" baseline="0">
                      <a:solidFill>
                        <a:srgbClr val="FF0000"/>
                      </a:solidFill>
                      <a:latin typeface="Calibri"/>
                      <a:ea typeface="Calibri"/>
                      <a:cs typeface="Calibri"/>
                    </a:defRPr>
                  </a:pPr>
                  <a:endParaRPr lang="it-IT"/>
                </a:p>
              </c:txPr>
              <c:dLblPos val="outEnd"/>
              <c:showLegendKey val="0"/>
              <c:showVal val="1"/>
              <c:showCatName val="0"/>
              <c:showSerName val="0"/>
              <c:showPercent val="0"/>
              <c:showBubbleSize val="0"/>
              <c:extLst>
                <c:ext xmlns:c15="http://schemas.microsoft.com/office/drawing/2012/chart" uri="{CE6537A1-D6FC-4f65-9D91-7224C49458BB}">
                  <c15:layout/>
                </c:ext>
              </c:extLst>
            </c:dLbl>
            <c:dLbl>
              <c:idx val="3"/>
              <c:spPr>
                <a:noFill/>
                <a:ln w="25400">
                  <a:noFill/>
                </a:ln>
              </c:spPr>
              <c:txPr>
                <a:bodyPr/>
                <a:lstStyle/>
                <a:p>
                  <a:pPr>
                    <a:defRPr sz="1000" b="0" i="0" u="none" strike="noStrike" baseline="0">
                      <a:solidFill>
                        <a:sysClr val="windowText" lastClr="000000"/>
                      </a:solidFill>
                      <a:latin typeface="Calibri"/>
                      <a:ea typeface="Calibri"/>
                      <a:cs typeface="Calibri"/>
                    </a:defRPr>
                  </a:pPr>
                  <a:endParaRPr lang="it-IT"/>
                </a:p>
              </c:txPr>
              <c:showLegendKey val="0"/>
              <c:showVal val="1"/>
              <c:showCatName val="0"/>
              <c:showSerName val="0"/>
              <c:showPercent val="0"/>
              <c:showBubbleSize val="0"/>
            </c:dLbl>
            <c:dLbl>
              <c:idx val="4"/>
              <c:spPr>
                <a:noFill/>
                <a:ln w="25400">
                  <a:noFill/>
                </a:ln>
              </c:spPr>
              <c:txPr>
                <a:bodyPr/>
                <a:lstStyle/>
                <a:p>
                  <a:pPr>
                    <a:defRPr sz="1000" b="0" i="0" u="none" strike="noStrike" baseline="0">
                      <a:solidFill>
                        <a:srgbClr val="FF0000"/>
                      </a:solidFill>
                      <a:latin typeface="Calibri"/>
                      <a:ea typeface="Calibri"/>
                      <a:cs typeface="Calibri"/>
                    </a:defRPr>
                  </a:pPr>
                  <a:endParaRPr lang="it-IT"/>
                </a:p>
              </c:txPr>
              <c:showLegendKey val="0"/>
              <c:showVal val="1"/>
              <c:showCatName val="0"/>
              <c:showSerName val="0"/>
              <c:showPercent val="0"/>
              <c:showBubbleSize val="0"/>
            </c:dLbl>
            <c:dLbl>
              <c:idx val="5"/>
              <c:layout>
                <c:manualLayout>
                  <c:x val="1.7953321364451112E-3"/>
                  <c:y val="-4.4943820224719204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2666149915634452E-3"/>
                  <c:y val="-0.15835731925699809"/>
                </c:manualLayout>
              </c:layout>
              <c:spPr>
                <a:noFill/>
                <a:ln w="25400">
                  <a:noFill/>
                </a:ln>
              </c:spPr>
              <c:txPr>
                <a:bodyPr/>
                <a:lstStyle/>
                <a:p>
                  <a:pPr>
                    <a:defRPr sz="1000" b="0" i="0" u="none" strike="noStrike" baseline="0">
                      <a:solidFill>
                        <a:srgbClr val="FF0000"/>
                      </a:solidFill>
                      <a:latin typeface="Calibri"/>
                      <a:ea typeface="Calibri"/>
                      <a:cs typeface="Calibri"/>
                    </a:defRPr>
                  </a:pPr>
                  <a:endParaRPr lang="it-IT"/>
                </a:p>
              </c:txPr>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a:solidFill>
                      <a:srgbClr val="FF0000"/>
                    </a:solidFill>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P.27!$B$53:$B$60</c:f>
              <c:strCache>
                <c:ptCount val="8"/>
                <c:pt idx="0">
                  <c:v>Teatro  </c:v>
                </c:pt>
                <c:pt idx="1">
                  <c:v>Cinema  </c:v>
                </c:pt>
                <c:pt idx="2">
                  <c:v>Musei, Mostre  </c:v>
                </c:pt>
                <c:pt idx="3">
                  <c:v>Concerti di musica classica  </c:v>
                </c:pt>
                <c:pt idx="4">
                  <c:v>Altri concerti di musica *  </c:v>
                </c:pt>
                <c:pt idx="5">
                  <c:v>Spettacoli sportivi  </c:v>
                </c:pt>
                <c:pt idx="6">
                  <c:v>Discoteche, balere, ecc.  </c:v>
                </c:pt>
                <c:pt idx="7">
                  <c:v>Siti archeologici e monumenti  </c:v>
                </c:pt>
              </c:strCache>
            </c:strRef>
          </c:cat>
          <c:val>
            <c:numRef>
              <c:f>P.27!$C$53:$C$60</c:f>
              <c:numCache>
                <c:formatCode>0.0%</c:formatCode>
                <c:ptCount val="8"/>
                <c:pt idx="0">
                  <c:v>-7.9601990049751312E-2</c:v>
                </c:pt>
                <c:pt idx="1">
                  <c:v>-5.6224899598393517E-2</c:v>
                </c:pt>
                <c:pt idx="2">
                  <c:v>-7.5000000000000053E-2</c:v>
                </c:pt>
                <c:pt idx="3">
                  <c:v>0.16666666666666666</c:v>
                </c:pt>
                <c:pt idx="4">
                  <c:v>-6.3157894736842066E-2</c:v>
                </c:pt>
                <c:pt idx="5">
                  <c:v>-3.937007874015748E-2</c:v>
                </c:pt>
                <c:pt idx="6">
                  <c:v>-4.8543689320388349E-2</c:v>
                </c:pt>
                <c:pt idx="7">
                  <c:v>-1.895734597156408E-2</c:v>
                </c:pt>
              </c:numCache>
            </c:numRef>
          </c:val>
        </c:ser>
        <c:dLbls>
          <c:showLegendKey val="0"/>
          <c:showVal val="0"/>
          <c:showCatName val="0"/>
          <c:showSerName val="0"/>
          <c:showPercent val="0"/>
          <c:showBubbleSize val="0"/>
        </c:dLbls>
        <c:gapWidth val="150"/>
        <c:axId val="303467216"/>
        <c:axId val="303467608"/>
      </c:barChart>
      <c:catAx>
        <c:axId val="303467216"/>
        <c:scaling>
          <c:orientation val="minMax"/>
        </c:scaling>
        <c:delete val="0"/>
        <c:axPos val="b"/>
        <c:numFmt formatCode="General" sourceLinked="1"/>
        <c:majorTickMark val="out"/>
        <c:minorTickMark val="none"/>
        <c:tickLblPos val="nextTo"/>
        <c:crossAx val="303467608"/>
        <c:crosses val="autoZero"/>
        <c:auto val="1"/>
        <c:lblAlgn val="ctr"/>
        <c:lblOffset val="100"/>
        <c:noMultiLvlLbl val="0"/>
      </c:catAx>
      <c:valAx>
        <c:axId val="303467608"/>
        <c:scaling>
          <c:orientation val="minMax"/>
        </c:scaling>
        <c:delete val="0"/>
        <c:axPos val="l"/>
        <c:numFmt formatCode="0.0%" sourceLinked="1"/>
        <c:majorTickMark val="out"/>
        <c:minorTickMark val="none"/>
        <c:tickLblPos val="nextTo"/>
        <c:crossAx val="30346721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1594925634295717E-2"/>
          <c:y val="2.5428331875182269E-2"/>
          <c:w val="0.91366141086982866"/>
          <c:h val="0.71877671237590213"/>
        </c:manualLayout>
      </c:layout>
      <c:bar3DChart>
        <c:barDir val="col"/>
        <c:grouping val="clustered"/>
        <c:varyColors val="0"/>
        <c:ser>
          <c:idx val="0"/>
          <c:order val="0"/>
          <c:spPr>
            <a:solidFill>
              <a:srgbClr val="C00000"/>
            </a:solidFill>
            <a:ln>
              <a:noFill/>
            </a:ln>
            <a:effectLst/>
            <a:sp3d/>
          </c:spPr>
          <c:invertIfNegative val="0"/>
          <c:dPt>
            <c:idx val="11"/>
            <c:invertIfNegative val="0"/>
            <c:bubble3D val="0"/>
            <c:spPr>
              <a:solidFill>
                <a:srgbClr val="0070C0"/>
              </a:solidFill>
              <a:ln>
                <a:noFill/>
              </a:ln>
              <a:effectLst/>
              <a:sp3d/>
            </c:spPr>
          </c:dPt>
          <c:dPt>
            <c:idx val="20"/>
            <c:invertIfNegative val="0"/>
            <c:bubble3D val="0"/>
            <c:spPr>
              <a:solidFill>
                <a:srgbClr val="00B050"/>
              </a:solidFill>
              <a:ln>
                <a:noFill/>
              </a:ln>
              <a:effectLst/>
              <a:sp3d/>
            </c:spPr>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'GRAFICO Ue'!$L$8:$L$35</c:f>
              <c:strCache>
                <c:ptCount val="28"/>
                <c:pt idx="0">
                  <c:v>Finlandia</c:v>
                </c:pt>
                <c:pt idx="1">
                  <c:v>Svezia</c:v>
                </c:pt>
                <c:pt idx="2">
                  <c:v>Danimarca</c:v>
                </c:pt>
                <c:pt idx="3">
                  <c:v>Regno Unito</c:v>
                </c:pt>
                <c:pt idx="4">
                  <c:v>Austria</c:v>
                </c:pt>
                <c:pt idx="5">
                  <c:v>Malta</c:v>
                </c:pt>
                <c:pt idx="6">
                  <c:v>Paesi Bassi</c:v>
                </c:pt>
                <c:pt idx="7">
                  <c:v>Slovacchia</c:v>
                </c:pt>
                <c:pt idx="8">
                  <c:v>Repubblica Ceca</c:v>
                </c:pt>
                <c:pt idx="9">
                  <c:v>Belgio</c:v>
                </c:pt>
                <c:pt idx="10">
                  <c:v>Germania</c:v>
                </c:pt>
                <c:pt idx="11">
                  <c:v>Ue27</c:v>
                </c:pt>
                <c:pt idx="12">
                  <c:v>Slovenia</c:v>
                </c:pt>
                <c:pt idx="13">
                  <c:v>Francia</c:v>
                </c:pt>
                <c:pt idx="14">
                  <c:v>Spagna</c:v>
                </c:pt>
                <c:pt idx="15">
                  <c:v>Cipro</c:v>
                </c:pt>
                <c:pt idx="16">
                  <c:v>Bulgaria</c:v>
                </c:pt>
                <c:pt idx="17">
                  <c:v>Lettonia</c:v>
                </c:pt>
                <c:pt idx="18">
                  <c:v>Polonia</c:v>
                </c:pt>
                <c:pt idx="19">
                  <c:v>Ungheria</c:v>
                </c:pt>
                <c:pt idx="20">
                  <c:v>ITALIA</c:v>
                </c:pt>
                <c:pt idx="21">
                  <c:v>Irlanda</c:v>
                </c:pt>
                <c:pt idx="22">
                  <c:v>Estonia</c:v>
                </c:pt>
                <c:pt idx="23">
                  <c:v>Portogallo</c:v>
                </c:pt>
                <c:pt idx="24">
                  <c:v>Lussemburgo</c:v>
                </c:pt>
                <c:pt idx="25">
                  <c:v>Lituania</c:v>
                </c:pt>
                <c:pt idx="26">
                  <c:v>Romania</c:v>
                </c:pt>
                <c:pt idx="27">
                  <c:v>Grecia</c:v>
                </c:pt>
              </c:strCache>
            </c:strRef>
          </c:cat>
          <c:val>
            <c:numRef>
              <c:f>'GRAFICO Ue'!$M$8:$M$35</c:f>
              <c:numCache>
                <c:formatCode>0.0</c:formatCode>
                <c:ptCount val="28"/>
                <c:pt idx="0">
                  <c:v>11.306771959761107</c:v>
                </c:pt>
                <c:pt idx="1">
                  <c:v>11.120373227723123</c:v>
                </c:pt>
                <c:pt idx="2">
                  <c:v>10.93584139868873</c:v>
                </c:pt>
                <c:pt idx="3">
                  <c:v>10.658929123061398</c:v>
                </c:pt>
                <c:pt idx="4">
                  <c:v>10.547998642227569</c:v>
                </c:pt>
                <c:pt idx="5">
                  <c:v>10.128326586857291</c:v>
                </c:pt>
                <c:pt idx="6">
                  <c:v>9.9706722983813787</c:v>
                </c:pt>
                <c:pt idx="7">
                  <c:v>9.497211000143551</c:v>
                </c:pt>
                <c:pt idx="8">
                  <c:v>9.4240973019676755</c:v>
                </c:pt>
                <c:pt idx="9">
                  <c:v>9.0349671062970831</c:v>
                </c:pt>
                <c:pt idx="10">
                  <c:v>8.9949808879534263</c:v>
                </c:pt>
                <c:pt idx="11">
                  <c:v>8.7976039447044698</c:v>
                </c:pt>
                <c:pt idx="12">
                  <c:v>8.7869348198345918</c:v>
                </c:pt>
                <c:pt idx="13">
                  <c:v>8.3312138831418991</c:v>
                </c:pt>
                <c:pt idx="14">
                  <c:v>8.0696192686523514</c:v>
                </c:pt>
                <c:pt idx="15">
                  <c:v>7.9620284325189239</c:v>
                </c:pt>
                <c:pt idx="16">
                  <c:v>7.8415631156823498</c:v>
                </c:pt>
                <c:pt idx="17">
                  <c:v>7.7930906118749546</c:v>
                </c:pt>
                <c:pt idx="18">
                  <c:v>7.7183239658926786</c:v>
                </c:pt>
                <c:pt idx="19">
                  <c:v>7.5026629908407987</c:v>
                </c:pt>
                <c:pt idx="20">
                  <c:v>7.3279771633313491</c:v>
                </c:pt>
                <c:pt idx="21">
                  <c:v>7.0696378605577088</c:v>
                </c:pt>
                <c:pt idx="22">
                  <c:v>6.949144464038894</c:v>
                </c:pt>
                <c:pt idx="23">
                  <c:v>6.863037573207305</c:v>
                </c:pt>
                <c:pt idx="24">
                  <c:v>6.6597629586598384</c:v>
                </c:pt>
                <c:pt idx="25">
                  <c:v>6.3</c:v>
                </c:pt>
                <c:pt idx="26">
                  <c:v>5.8</c:v>
                </c:pt>
                <c:pt idx="27">
                  <c:v>5.625784569972863</c:v>
                </c:pt>
              </c:numCache>
            </c:numRef>
          </c:val>
        </c:ser>
        <c:dLbls>
          <c:showLegendKey val="0"/>
          <c:showVal val="0"/>
          <c:showCatName val="0"/>
          <c:showSerName val="0"/>
          <c:showPercent val="0"/>
          <c:showBubbleSize val="0"/>
        </c:dLbls>
        <c:gapWidth val="150"/>
        <c:shape val="box"/>
        <c:axId val="305303648"/>
        <c:axId val="305304040"/>
        <c:axId val="0"/>
      </c:bar3DChart>
      <c:catAx>
        <c:axId val="30530364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it-IT"/>
          </a:p>
        </c:txPr>
        <c:crossAx val="305304040"/>
        <c:crosses val="autoZero"/>
        <c:auto val="1"/>
        <c:lblAlgn val="ctr"/>
        <c:lblOffset val="100"/>
        <c:tickLblSkip val="1"/>
        <c:noMultiLvlLbl val="0"/>
      </c:catAx>
      <c:valAx>
        <c:axId val="30530404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it-IT"/>
          </a:p>
        </c:txPr>
        <c:crossAx val="305303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510917916107976E-2"/>
          <c:y val="2.6846489865282121E-2"/>
          <c:w val="0.89652994276315812"/>
          <c:h val="0.87922254308798953"/>
        </c:manualLayout>
      </c:layout>
      <c:lineChart>
        <c:grouping val="stacked"/>
        <c:varyColors val="0"/>
        <c:ser>
          <c:idx val="1"/>
          <c:order val="0"/>
          <c:tx>
            <c:strRef>
              <c:f>P.31!$C$58</c:f>
              <c:strCache>
                <c:ptCount val="1"/>
                <c:pt idx="0">
                  <c:v>Visitatori</c:v>
                </c:pt>
              </c:strCache>
            </c:strRef>
          </c:tx>
          <c:dLbls>
            <c:dLbl>
              <c:idx val="1"/>
              <c:layout>
                <c:manualLayout>
                  <c:x val="-4.9251861663599378E-2"/>
                  <c:y val="6.3842408222699362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761241603255194E-2"/>
                  <c:y val="6.4980583354624921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7405289357451523E-2"/>
                  <c:y val="5.6738074815819606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3139215928673702E-2"/>
                  <c:y val="5.5620987372439527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98281529543833E-2"/>
                  <c:y val="5.0058991283008822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7529526006795624E-2"/>
                  <c:y val="5.0631569476467256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3"/>
              <c:layout>
                <c:manualLayout>
                  <c:x val="-4.1802023562181614E-2"/>
                  <c:y val="5.1966120413901709E-2"/>
                </c:manualLayout>
              </c:layout>
              <c:spPr>
                <a:noFill/>
                <a:ln w="25400">
                  <a:noFill/>
                </a:ln>
              </c:spPr>
              <c:txPr>
                <a:bodyPr/>
                <a:lstStyle/>
                <a:p>
                  <a:pPr>
                    <a:defRPr sz="700"/>
                  </a:pPr>
                  <a:endParaRPr lang="it-IT"/>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4"/>
              <c:layout>
                <c:manualLayout>
                  <c:x val="-6.1143472442578832E-2"/>
                  <c:y val="-8.51082272123391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6"/>
              <c:layout>
                <c:manualLayout>
                  <c:x val="-5.0296153839869413E-2"/>
                  <c:y val="0.10007695797284599"/>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wrap="square" lIns="38100" tIns="19050" rIns="38100" bIns="19050" anchor="ctr">
                <a:spAutoFit/>
              </a:bodyPr>
              <a:lstStyle/>
              <a:p>
                <a:pPr>
                  <a:defRPr sz="700"/>
                </a:pPr>
                <a:endParaRPr lang="it-IT"/>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P.31!$B$59:$B$76</c:f>
              <c:numCache>
                <c:formatCode>General</c:formatCode>
                <c:ptCount val="18"/>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numCache>
            </c:numRef>
          </c:cat>
          <c:val>
            <c:numRef>
              <c:f>P.31!$C$59:$C$76</c:f>
              <c:numCache>
                <c:formatCode>#,##0</c:formatCode>
                <c:ptCount val="18"/>
                <c:pt idx="0">
                  <c:v>25029755</c:v>
                </c:pt>
                <c:pt idx="1">
                  <c:v>26062485</c:v>
                </c:pt>
                <c:pt idx="2">
                  <c:v>27729369</c:v>
                </c:pt>
                <c:pt idx="3">
                  <c:v>27295568</c:v>
                </c:pt>
                <c:pt idx="4">
                  <c:v>30175826</c:v>
                </c:pt>
                <c:pt idx="5">
                  <c:v>29543020</c:v>
                </c:pt>
                <c:pt idx="6">
                  <c:v>30268487</c:v>
                </c:pt>
                <c:pt idx="7">
                  <c:v>30451243</c:v>
                </c:pt>
                <c:pt idx="8">
                  <c:v>32226640</c:v>
                </c:pt>
                <c:pt idx="9">
                  <c:v>33048137</c:v>
                </c:pt>
                <c:pt idx="10">
                  <c:v>34574591</c:v>
                </c:pt>
                <c:pt idx="11">
                  <c:v>34443097</c:v>
                </c:pt>
                <c:pt idx="12">
                  <c:v>33106648</c:v>
                </c:pt>
                <c:pt idx="13">
                  <c:v>32380144</c:v>
                </c:pt>
                <c:pt idx="14">
                  <c:v>37336961</c:v>
                </c:pt>
                <c:pt idx="15">
                  <c:v>40174000</c:v>
                </c:pt>
                <c:pt idx="16">
                  <c:v>36426794</c:v>
                </c:pt>
                <c:pt idx="17">
                  <c:v>38221778</c:v>
                </c:pt>
              </c:numCache>
            </c:numRef>
          </c:val>
          <c:smooth val="0"/>
        </c:ser>
        <c:dLbls>
          <c:showLegendKey val="0"/>
          <c:showVal val="0"/>
          <c:showCatName val="0"/>
          <c:showSerName val="0"/>
          <c:showPercent val="0"/>
          <c:showBubbleSize val="0"/>
        </c:dLbls>
        <c:marker val="1"/>
        <c:smooth val="0"/>
        <c:axId val="305304824"/>
        <c:axId val="305305216"/>
      </c:lineChart>
      <c:catAx>
        <c:axId val="305304824"/>
        <c:scaling>
          <c:orientation val="minMax"/>
        </c:scaling>
        <c:delete val="0"/>
        <c:axPos val="b"/>
        <c:numFmt formatCode="General" sourceLinked="1"/>
        <c:majorTickMark val="out"/>
        <c:minorTickMark val="none"/>
        <c:tickLblPos val="nextTo"/>
        <c:txPr>
          <a:bodyPr/>
          <a:lstStyle/>
          <a:p>
            <a:pPr>
              <a:defRPr sz="800"/>
            </a:pPr>
            <a:endParaRPr lang="it-IT"/>
          </a:p>
        </c:txPr>
        <c:crossAx val="305305216"/>
        <c:crosses val="autoZero"/>
        <c:auto val="1"/>
        <c:lblAlgn val="ctr"/>
        <c:lblOffset val="100"/>
        <c:noMultiLvlLbl val="0"/>
      </c:catAx>
      <c:valAx>
        <c:axId val="305305216"/>
        <c:scaling>
          <c:orientation val="minMax"/>
          <c:max val="50000000"/>
        </c:scaling>
        <c:delete val="0"/>
        <c:axPos val="l"/>
        <c:numFmt formatCode="#,##0" sourceLinked="1"/>
        <c:majorTickMark val="out"/>
        <c:minorTickMark val="none"/>
        <c:tickLblPos val="nextTo"/>
        <c:txPr>
          <a:bodyPr/>
          <a:lstStyle/>
          <a:p>
            <a:pPr>
              <a:defRPr sz="800"/>
            </a:pPr>
            <a:endParaRPr lang="it-IT"/>
          </a:p>
        </c:txPr>
        <c:crossAx val="305304824"/>
        <c:crosses val="autoZero"/>
        <c:crossBetween val="between"/>
      </c:valAx>
    </c:plotArea>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manualLayout>
          <c:layoutTarget val="inner"/>
          <c:xMode val="edge"/>
          <c:yMode val="edge"/>
          <c:x val="8.5331955837701187E-2"/>
          <c:y val="6.7166432817245075E-2"/>
          <c:w val="0.8667930250882282"/>
          <c:h val="0.8731636266241859"/>
        </c:manualLayout>
      </c:layout>
      <c:barChart>
        <c:barDir val="col"/>
        <c:grouping val="clustered"/>
        <c:varyColors val="0"/>
        <c:ser>
          <c:idx val="0"/>
          <c:order val="0"/>
          <c:tx>
            <c:strRef>
              <c:f>'C:\Users\fcamaleonte\Desktop\Flavia backup_19-03-14\X Rapporto Annuale\Appendice\Da Manuela\[AggiornamentiAppendice dati statistici_27-03-2014_F.xls]P.33'!$B$73</c:f>
              <c:strCache>
                <c:ptCount val="1"/>
                <c:pt idx="0">
                  <c:v>Var. 2013/2012</c:v>
                </c:pt>
              </c:strCache>
            </c:strRef>
          </c:tx>
          <c:spPr>
            <a:solidFill>
              <a:schemeClr val="accent2"/>
            </a:solidFill>
            <a:ln>
              <a:noFill/>
            </a:ln>
            <a:effectLst/>
          </c:spPr>
          <c:invertIfNegative val="0"/>
          <c:dLbls>
            <c:dLbl>
              <c:idx val="2"/>
              <c:layout>
                <c:manualLayout>
                  <c:x val="-3.6375241165771447E-17"/>
                  <c:y val="-5.069708491761725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2.027883396704671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2750482331542893E-17"/>
                  <c:y val="-2.0278833967046894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9841269841269845E-3"/>
                  <c:y val="-1.013941698352344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
                  <c:y val="-1.5209125475285174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400">
                <a:noFill/>
              </a:ln>
              <a:effectLst/>
            </c:spPr>
            <c:txPr>
              <a:bodyPr rot="0" spcFirstLastPara="1" vertOverflow="ellipsis" vert="horz" wrap="square" anchor="ctr" anchorCtr="1"/>
              <a:lstStyle/>
              <a:p>
                <a:pPr>
                  <a:defRPr sz="1000" b="0" i="0" u="none" strike="noStrike" kern="1200" baseline="0">
                    <a:solidFill>
                      <a:srgbClr val="000000"/>
                    </a:solidFill>
                    <a:latin typeface="Calibri"/>
                    <a:ea typeface="Calibri"/>
                    <a:cs typeface="Calibri"/>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[1]P.33!$C$72:$J$72</c:f>
              <c:strCache>
                <c:ptCount val="8"/>
                <c:pt idx="0">
                  <c:v>Genova</c:v>
                </c:pt>
                <c:pt idx="1">
                  <c:v>Torino</c:v>
                </c:pt>
                <c:pt idx="2">
                  <c:v>Venezia</c:v>
                </c:pt>
                <c:pt idx="3">
                  <c:v>Milano</c:v>
                </c:pt>
                <c:pt idx="4">
                  <c:v>Bologna</c:v>
                </c:pt>
                <c:pt idx="5">
                  <c:v>Firenze</c:v>
                </c:pt>
                <c:pt idx="6">
                  <c:v>Roma</c:v>
                </c:pt>
                <c:pt idx="7">
                  <c:v>Palermo</c:v>
                </c:pt>
              </c:strCache>
            </c:strRef>
          </c:cat>
          <c:val>
            <c:numRef>
              <c:f>[1]P.33!$C$73:$J$73</c:f>
              <c:numCache>
                <c:formatCode>General</c:formatCode>
                <c:ptCount val="8"/>
                <c:pt idx="0">
                  <c:v>0.18230684793330812</c:v>
                </c:pt>
                <c:pt idx="1">
                  <c:v>7.3094839257440508E-2</c:v>
                </c:pt>
                <c:pt idx="2">
                  <c:v>-2.0652985590618692E-2</c:v>
                </c:pt>
                <c:pt idx="3">
                  <c:v>-4.176040657493451E-2</c:v>
                </c:pt>
                <c:pt idx="4">
                  <c:v>-4.1613635491891024E-2</c:v>
                </c:pt>
                <c:pt idx="5">
                  <c:v>0.65977922752696572</c:v>
                </c:pt>
                <c:pt idx="6">
                  <c:v>-5.7582486170423212E-2</c:v>
                </c:pt>
                <c:pt idx="7">
                  <c:v>-5.3341036010013478E-2</c:v>
                </c:pt>
              </c:numCache>
            </c:numRef>
          </c:val>
        </c:ser>
        <c:dLbls>
          <c:showLegendKey val="0"/>
          <c:showVal val="0"/>
          <c:showCatName val="0"/>
          <c:showSerName val="0"/>
          <c:showPercent val="0"/>
          <c:showBubbleSize val="0"/>
        </c:dLbls>
        <c:gapWidth val="150"/>
        <c:axId val="305303256"/>
        <c:axId val="305306000"/>
      </c:barChart>
      <c:catAx>
        <c:axId val="305303256"/>
        <c:scaling>
          <c:orientation val="minMax"/>
        </c:scaling>
        <c:delete val="0"/>
        <c:axPos val="b"/>
        <c:numFmt formatCode="General" sourceLinked="1"/>
        <c:majorTickMark val="out"/>
        <c:minorTickMark val="none"/>
        <c:tickLblPos val="nextTo"/>
        <c:spPr>
          <a:noFill/>
          <a:ln w="3175" cap="flat" cmpd="sng" algn="ctr">
            <a:solidFill>
              <a:srgbClr val="808080"/>
            </a:solidFill>
            <a:prstDash val="solid"/>
            <a:round/>
          </a:ln>
          <a:effectLst/>
        </c:spPr>
        <c:txPr>
          <a:bodyPr rot="0" spcFirstLastPara="1" vertOverflow="ellipsis" wrap="square" anchor="ctr" anchorCtr="1"/>
          <a:lstStyle/>
          <a:p>
            <a:pPr>
              <a:defRPr sz="1000" b="0" i="0" u="none" strike="noStrike" kern="1200" baseline="0">
                <a:solidFill>
                  <a:srgbClr val="000000"/>
                </a:solidFill>
                <a:latin typeface="Calibri"/>
                <a:ea typeface="Calibri"/>
                <a:cs typeface="Calibri"/>
              </a:defRPr>
            </a:pPr>
            <a:endParaRPr lang="it-IT"/>
          </a:p>
        </c:txPr>
        <c:crossAx val="305306000"/>
        <c:crossesAt val="0"/>
        <c:auto val="1"/>
        <c:lblAlgn val="ctr"/>
        <c:lblOffset val="100"/>
        <c:tickLblSkip val="1"/>
        <c:tickMarkSkip val="1"/>
        <c:noMultiLvlLbl val="0"/>
      </c:catAx>
      <c:valAx>
        <c:axId val="305306000"/>
        <c:scaling>
          <c:orientation val="minMax"/>
        </c:scaling>
        <c:delete val="0"/>
        <c:axPos val="l"/>
        <c:numFmt formatCode="General" sourceLinked="1"/>
        <c:majorTickMark val="out"/>
        <c:minorTickMark val="none"/>
        <c:tickLblPos val="nextTo"/>
        <c:spPr>
          <a:noFill/>
          <a:ln w="3175" cap="flat" cmpd="sng" algn="ctr">
            <a:solidFill>
              <a:srgbClr val="808080"/>
            </a:solidFill>
            <a:prstDash val="solid"/>
            <a:round/>
          </a:ln>
          <a:effectLst/>
        </c:spPr>
        <c:txPr>
          <a:bodyPr rot="0" spcFirstLastPara="1" vertOverflow="ellipsis" wrap="square" anchor="ctr" anchorCtr="1"/>
          <a:lstStyle/>
          <a:p>
            <a:pPr>
              <a:defRPr sz="1000" b="0" i="0" u="none" strike="noStrike" kern="1200" baseline="0">
                <a:solidFill>
                  <a:srgbClr val="000000"/>
                </a:solidFill>
                <a:latin typeface="Calibri"/>
                <a:ea typeface="Calibri"/>
                <a:cs typeface="Calibri"/>
              </a:defRPr>
            </a:pPr>
            <a:endParaRPr lang="it-IT"/>
          </a:p>
        </c:txPr>
        <c:crossAx val="305303256"/>
        <c:crossesAt val="1"/>
        <c:crossBetween val="between"/>
      </c:valAx>
      <c:spPr>
        <a:solidFill>
          <a:srgbClr val="FFFFFF"/>
        </a:solidFill>
        <a:ln w="25400">
          <a:noFill/>
        </a:ln>
        <a:effectLst/>
      </c:spPr>
    </c:plotArea>
    <c:plotVisOnly val="1"/>
    <c:dispBlanksAs val="gap"/>
    <c:showDLblsOverMax val="0"/>
  </c:chart>
  <c:spPr>
    <a:solidFill>
      <a:srgbClr val="FFFFFF"/>
    </a:solidFill>
    <a:ln w="3175" cap="flat" cmpd="sng" algn="ctr">
      <a:solidFill>
        <a:srgbClr val="808080"/>
      </a:solidFill>
      <a:prstDash val="solid"/>
      <a:round/>
    </a:ln>
    <a:effectLst/>
  </c:spPr>
  <c:txPr>
    <a:bodyPr/>
    <a:lstStyle/>
    <a:p>
      <a:pPr>
        <a:defRPr sz="1100" b="0" i="0" u="none" strike="noStrike" baseline="0">
          <a:solidFill>
            <a:srgbClr val="000000"/>
          </a:solidFill>
          <a:latin typeface="Calibri"/>
          <a:ea typeface="Calibri"/>
          <a:cs typeface="Calibri"/>
        </a:defRPr>
      </a:pPr>
      <a:endParaRPr lang="it-I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24940106368279677"/>
          <c:y val="0.27826086956521739"/>
          <c:w val="0.50359830166718578"/>
          <c:h val="0.36521739130434783"/>
        </c:manualLayout>
      </c:layout>
      <c:pie3DChart>
        <c:varyColors val="1"/>
        <c:ser>
          <c:idx val="0"/>
          <c:order val="0"/>
          <c:spPr>
            <a:solidFill>
              <a:srgbClr val="9999FF"/>
            </a:solidFill>
            <a:ln w="12700">
              <a:solidFill>
                <a:srgbClr val="000000"/>
              </a:solidFill>
              <a:prstDash val="solid"/>
            </a:ln>
          </c:spPr>
          <c:explosion val="25"/>
          <c:dPt>
            <c:idx val="1"/>
            <c:bubble3D val="0"/>
            <c:spPr>
              <a:solidFill>
                <a:srgbClr val="FF8080"/>
              </a:solidFill>
              <a:ln w="12700">
                <a:solidFill>
                  <a:srgbClr val="000000"/>
                </a:solidFill>
                <a:prstDash val="solid"/>
              </a:ln>
            </c:spPr>
          </c:dPt>
          <c:dPt>
            <c:idx val="2"/>
            <c:bubble3D val="0"/>
            <c:spPr>
              <a:solidFill>
                <a:srgbClr val="FF9900"/>
              </a:solidFill>
              <a:ln w="12700">
                <a:solidFill>
                  <a:srgbClr val="000000"/>
                </a:solidFill>
                <a:prstDash val="solid"/>
              </a:ln>
            </c:spPr>
          </c:dPt>
          <c:dLbls>
            <c:dLbl>
              <c:idx val="0"/>
              <c:layout>
                <c:manualLayout>
                  <c:x val="3.1716736846743081E-2"/>
                  <c:y val="-2.035923770398265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65157322960529E-2"/>
                  <c:y val="7.002761611320323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0431214083851033E-2"/>
                  <c:y val="-0.11053657423256875"/>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showLegendKey val="0"/>
            <c:showVal val="1"/>
            <c:showCatName val="0"/>
            <c:showSerName val="0"/>
            <c:showPercent val="0"/>
            <c:showBubbleSize val="0"/>
            <c:showLeaderLines val="0"/>
            <c:extLst>
              <c:ext xmlns:c15="http://schemas.microsoft.com/office/drawing/2012/chart" uri="{CE6537A1-D6FC-4f65-9D91-7224C49458BB}"/>
            </c:extLst>
          </c:dLbls>
          <c:cat>
            <c:strRef>
              <c:f>P.12!$B$51:$B$53</c:f>
              <c:strCache>
                <c:ptCount val="3"/>
                <c:pt idx="0">
                  <c:v>Italy / World</c:v>
                </c:pt>
                <c:pt idx="1">
                  <c:v>Italy / European Union</c:v>
                </c:pt>
                <c:pt idx="2">
                  <c:v>Italy / G8</c:v>
                </c:pt>
              </c:strCache>
            </c:strRef>
          </c:cat>
          <c:val>
            <c:numRef>
              <c:f>P.12!$C$51:$C$53</c:f>
              <c:numCache>
                <c:formatCode>0%</c:formatCode>
                <c:ptCount val="3"/>
                <c:pt idx="0">
                  <c:v>6.0147598026774704E-2</c:v>
                </c:pt>
                <c:pt idx="1">
                  <c:v>0.17184789766346847</c:v>
                </c:pt>
                <c:pt idx="2">
                  <c:v>0.18550563861592462</c:v>
                </c:pt>
              </c:numCache>
            </c:numRef>
          </c:val>
        </c:ser>
        <c:dLbls>
          <c:showLegendKey val="0"/>
          <c:showVal val="0"/>
          <c:showCatName val="0"/>
          <c:showSerName val="0"/>
          <c:showPercent val="0"/>
          <c:showBubbleSize val="0"/>
          <c:showLeaderLines val="0"/>
        </c:dLbls>
      </c:pie3DChart>
      <c:spPr>
        <a:noFill/>
        <a:ln w="25400">
          <a:noFill/>
        </a:ln>
      </c:spPr>
    </c:plotArea>
    <c:legend>
      <c:legendPos val="r"/>
      <c:layout>
        <c:manualLayout>
          <c:xMode val="edge"/>
          <c:yMode val="edge"/>
          <c:x val="0.10791417259892873"/>
          <c:y val="0.78405797101449271"/>
          <c:w val="0.75219975200941613"/>
          <c:h val="6.9565217391304349E-2"/>
        </c:manualLayout>
      </c:layout>
      <c:overlay val="0"/>
      <c:spPr>
        <a:solidFill>
          <a:srgbClr val="FFFFFF"/>
        </a:solidFill>
        <a:ln w="3175">
          <a:solidFill>
            <a:srgbClr val="000000"/>
          </a:solidFill>
          <a:prstDash val="solid"/>
        </a:ln>
      </c:spPr>
    </c:legend>
    <c:plotVisOnly val="1"/>
    <c:dispBlanksAs val="zero"/>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mn-lt"/>
          <a:ea typeface="Arial"/>
          <a:cs typeface="Arial"/>
        </a:defRPr>
      </a:pPr>
      <a:endParaRPr lang="it-IT"/>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wrap="square" lIns="38100" tIns="19050" rIns="38100" bIns="19050" anchor="ctr">
                <a:spAutoFit/>
              </a:bodyPr>
              <a:lstStyle/>
              <a:p>
                <a:pPr>
                  <a:defRPr sz="800"/>
                </a:pPr>
                <a:endParaRPr lang="it-IT"/>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P.246!$F$55:$F$60</c:f>
              <c:strCache>
                <c:ptCount val="6"/>
                <c:pt idx="0">
                  <c:v>NORD-OVEST </c:v>
                </c:pt>
                <c:pt idx="1">
                  <c:v>NORD-EST </c:v>
                </c:pt>
                <c:pt idx="2">
                  <c:v>CENTRO </c:v>
                </c:pt>
                <c:pt idx="3">
                  <c:v>SUD E ISOLE </c:v>
                </c:pt>
                <c:pt idx="4">
                  <c:v>DATI NON RIPARTIBILI</c:v>
                </c:pt>
                <c:pt idx="5">
                  <c:v>ITALIA</c:v>
                </c:pt>
              </c:strCache>
            </c:strRef>
          </c:cat>
          <c:val>
            <c:numRef>
              <c:f>P.246!$G$55:$G$60</c:f>
              <c:numCache>
                <c:formatCode>0.0%</c:formatCode>
                <c:ptCount val="6"/>
                <c:pt idx="0">
                  <c:v>2.2731518963691848E-2</c:v>
                </c:pt>
                <c:pt idx="1">
                  <c:v>2.5657472738935217E-4</c:v>
                </c:pt>
                <c:pt idx="2">
                  <c:v>6.1057259918057362E-2</c:v>
                </c:pt>
                <c:pt idx="3">
                  <c:v>7.5322513524760715E-2</c:v>
                </c:pt>
                <c:pt idx="4">
                  <c:v>7.0581592320722751E-4</c:v>
                </c:pt>
                <c:pt idx="5">
                  <c:v>2.5696194750107579E-2</c:v>
                </c:pt>
              </c:numCache>
            </c:numRef>
          </c:val>
        </c:ser>
        <c:dLbls>
          <c:dLblPos val="outEnd"/>
          <c:showLegendKey val="0"/>
          <c:showVal val="1"/>
          <c:showCatName val="0"/>
          <c:showSerName val="0"/>
          <c:showPercent val="0"/>
          <c:showBubbleSize val="0"/>
        </c:dLbls>
        <c:gapWidth val="150"/>
        <c:axId val="302098160"/>
        <c:axId val="302098552"/>
      </c:barChart>
      <c:catAx>
        <c:axId val="302098160"/>
        <c:scaling>
          <c:orientation val="minMax"/>
        </c:scaling>
        <c:delete val="0"/>
        <c:axPos val="b"/>
        <c:numFmt formatCode="General" sourceLinked="1"/>
        <c:majorTickMark val="none"/>
        <c:minorTickMark val="none"/>
        <c:tickLblPos val="nextTo"/>
        <c:txPr>
          <a:bodyPr/>
          <a:lstStyle/>
          <a:p>
            <a:pPr>
              <a:defRPr sz="800"/>
            </a:pPr>
            <a:endParaRPr lang="it-IT"/>
          </a:p>
        </c:txPr>
        <c:crossAx val="302098552"/>
        <c:crosses val="autoZero"/>
        <c:auto val="1"/>
        <c:lblAlgn val="ctr"/>
        <c:lblOffset val="100"/>
        <c:noMultiLvlLbl val="0"/>
      </c:catAx>
      <c:valAx>
        <c:axId val="302098552"/>
        <c:scaling>
          <c:orientation val="minMax"/>
        </c:scaling>
        <c:delete val="0"/>
        <c:axPos val="l"/>
        <c:majorGridlines/>
        <c:numFmt formatCode="0.0%" sourceLinked="1"/>
        <c:majorTickMark val="none"/>
        <c:minorTickMark val="none"/>
        <c:tickLblPos val="nextTo"/>
        <c:txPr>
          <a:bodyPr/>
          <a:lstStyle/>
          <a:p>
            <a:pPr>
              <a:defRPr sz="800"/>
            </a:pPr>
            <a:endParaRPr lang="it-IT"/>
          </a:p>
        </c:txPr>
        <c:crossAx val="302098160"/>
        <c:crosses val="autoZero"/>
        <c:crossBetween val="between"/>
      </c:valAx>
      <c:spPr>
        <a:noFill/>
        <a:ln w="25400">
          <a:noFill/>
        </a:ln>
      </c:spPr>
    </c:plotArea>
    <c:plotVisOnly val="1"/>
    <c:dispBlanksAs val="zero"/>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D20EC-F809-4712-B59D-3624A332B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2512</Words>
  <Characters>14319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Flavia Camaleonte</dc:creator>
  <cp:keywords/>
  <dc:description/>
  <cp:lastModifiedBy>Flavia Camaleonte</cp:lastModifiedBy>
  <cp:revision>2</cp:revision>
  <cp:lastPrinted>2014-06-17T12:30:00Z</cp:lastPrinted>
  <dcterms:created xsi:type="dcterms:W3CDTF">2014-06-24T09:22:00Z</dcterms:created>
  <dcterms:modified xsi:type="dcterms:W3CDTF">2014-06-24T09:22:00Z</dcterms:modified>
</cp:coreProperties>
</file>